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2" w:rsidRDefault="005C4C32" w:rsidP="001853D3">
      <w:pPr>
        <w:pStyle w:val="BodyText"/>
        <w:jc w:val="center"/>
        <w:rPr>
          <w:rFonts w:asciiTheme="minorHAnsi" w:hAnsiTheme="minorHAnsi" w:cs="Arial"/>
          <w:b/>
          <w:szCs w:val="24"/>
          <w:u w:val="single"/>
        </w:rPr>
      </w:pPr>
      <w:r>
        <w:rPr>
          <w:rFonts w:asciiTheme="minorHAnsi" w:hAnsiTheme="minorHAnsi" w:cs="Arial"/>
          <w:b/>
          <w:szCs w:val="24"/>
          <w:u w:val="single"/>
        </w:rPr>
        <w:t xml:space="preserve">Amendment 02 </w:t>
      </w:r>
    </w:p>
    <w:p w:rsidR="001853D3" w:rsidRDefault="001853D3" w:rsidP="001853D3">
      <w:pPr>
        <w:pStyle w:val="BodyText"/>
        <w:jc w:val="center"/>
        <w:rPr>
          <w:rFonts w:asciiTheme="minorHAnsi" w:hAnsiTheme="minorHAnsi" w:cs="Arial"/>
          <w:b/>
          <w:szCs w:val="24"/>
          <w:u w:val="single"/>
        </w:rPr>
      </w:pPr>
      <w:r w:rsidRPr="001853D3">
        <w:rPr>
          <w:rFonts w:asciiTheme="minorHAnsi" w:hAnsiTheme="minorHAnsi" w:cs="Arial"/>
          <w:b/>
          <w:szCs w:val="24"/>
          <w:u w:val="single"/>
        </w:rPr>
        <w:t>A</w:t>
      </w:r>
      <w:r w:rsidR="00327199">
        <w:rPr>
          <w:rFonts w:asciiTheme="minorHAnsi" w:hAnsiTheme="minorHAnsi" w:cs="Arial"/>
          <w:b/>
          <w:szCs w:val="24"/>
          <w:u w:val="single"/>
        </w:rPr>
        <w:t>ppendix</w:t>
      </w:r>
      <w:r w:rsidRPr="001853D3">
        <w:rPr>
          <w:rFonts w:asciiTheme="minorHAnsi" w:hAnsiTheme="minorHAnsi" w:cs="Arial"/>
          <w:b/>
          <w:szCs w:val="24"/>
          <w:u w:val="single"/>
        </w:rPr>
        <w:t xml:space="preserve"> B</w:t>
      </w:r>
    </w:p>
    <w:p w:rsidR="00AE277E" w:rsidRDefault="00AE277E" w:rsidP="005F7F67">
      <w:pPr>
        <w:pStyle w:val="BodyText"/>
        <w:rPr>
          <w:rFonts w:asciiTheme="minorHAnsi" w:hAnsiTheme="minorHAnsi" w:cs="Arial"/>
          <w:szCs w:val="24"/>
        </w:rPr>
      </w:pPr>
    </w:p>
    <w:p w:rsidR="005F7F67" w:rsidRPr="0058257F" w:rsidRDefault="005F7F67" w:rsidP="00D8182B">
      <w:pPr>
        <w:pStyle w:val="BodyText"/>
        <w:numPr>
          <w:ilvl w:val="0"/>
          <w:numId w:val="6"/>
        </w:numPr>
        <w:rPr>
          <w:rFonts w:asciiTheme="minorHAnsi" w:hAnsiTheme="minorHAnsi" w:cs="Arial"/>
          <w:szCs w:val="24"/>
        </w:rPr>
      </w:pPr>
      <w:r w:rsidRPr="0058257F">
        <w:rPr>
          <w:rFonts w:asciiTheme="minorHAnsi" w:hAnsiTheme="minorHAnsi" w:cs="Arial"/>
          <w:szCs w:val="24"/>
        </w:rPr>
        <w:t>Page 15 Section 14 Evaluation Criteria</w:t>
      </w:r>
      <w:r w:rsidR="003E5780" w:rsidRPr="0058257F">
        <w:rPr>
          <w:rFonts w:asciiTheme="minorHAnsi" w:hAnsiTheme="minorHAnsi" w:cs="Arial"/>
          <w:szCs w:val="24"/>
        </w:rPr>
        <w:t xml:space="preserve">, </w:t>
      </w:r>
      <w:r w:rsidR="001853D3" w:rsidRPr="0058257F">
        <w:rPr>
          <w:rFonts w:asciiTheme="minorHAnsi" w:hAnsiTheme="minorHAnsi" w:cs="Arial"/>
          <w:szCs w:val="24"/>
        </w:rPr>
        <w:t>the f</w:t>
      </w:r>
      <w:r w:rsidR="003E5780" w:rsidRPr="0058257F">
        <w:rPr>
          <w:rFonts w:asciiTheme="minorHAnsi" w:hAnsiTheme="minorHAnsi" w:cs="Arial"/>
          <w:szCs w:val="24"/>
        </w:rPr>
        <w:t>irst paragraph</w:t>
      </w:r>
      <w:r w:rsidR="001853D3" w:rsidRPr="0058257F">
        <w:rPr>
          <w:rFonts w:asciiTheme="minorHAnsi" w:hAnsiTheme="minorHAnsi" w:cs="Arial"/>
          <w:szCs w:val="24"/>
        </w:rPr>
        <w:t xml:space="preserve"> under “</w:t>
      </w:r>
      <w:r w:rsidR="0058257F" w:rsidRPr="0058257F">
        <w:rPr>
          <w:rFonts w:asciiTheme="minorHAnsi" w:hAnsiTheme="minorHAnsi" w:cs="Arial"/>
          <w:szCs w:val="24"/>
        </w:rPr>
        <w:t>Evaluation Criteria</w:t>
      </w:r>
      <w:r w:rsidR="001853D3" w:rsidRPr="0058257F">
        <w:rPr>
          <w:rFonts w:asciiTheme="minorHAnsi" w:hAnsiTheme="minorHAnsi" w:cs="Arial"/>
          <w:szCs w:val="24"/>
        </w:rPr>
        <w:t>”</w:t>
      </w:r>
      <w:r w:rsidR="003E5780" w:rsidRPr="0058257F">
        <w:rPr>
          <w:rFonts w:asciiTheme="minorHAnsi" w:hAnsiTheme="minorHAnsi" w:cs="Arial"/>
          <w:szCs w:val="24"/>
        </w:rPr>
        <w:t xml:space="preserve"> </w:t>
      </w:r>
      <w:r w:rsidR="001853D3" w:rsidRPr="0058257F">
        <w:rPr>
          <w:rFonts w:asciiTheme="minorHAnsi" w:hAnsiTheme="minorHAnsi" w:cs="Arial"/>
          <w:szCs w:val="24"/>
        </w:rPr>
        <w:t>is r</w:t>
      </w:r>
      <w:r w:rsidRPr="0058257F">
        <w:rPr>
          <w:rFonts w:asciiTheme="minorHAnsi" w:hAnsiTheme="minorHAnsi" w:cs="Arial"/>
          <w:szCs w:val="24"/>
        </w:rPr>
        <w:t>eplace</w:t>
      </w:r>
      <w:r w:rsidR="001853D3" w:rsidRPr="0058257F">
        <w:rPr>
          <w:rFonts w:asciiTheme="minorHAnsi" w:hAnsiTheme="minorHAnsi" w:cs="Arial"/>
          <w:szCs w:val="24"/>
        </w:rPr>
        <w:t>d with the paragraph</w:t>
      </w:r>
      <w:r w:rsidRPr="0058257F">
        <w:rPr>
          <w:rFonts w:asciiTheme="minorHAnsi" w:hAnsiTheme="minorHAnsi" w:cs="Arial"/>
          <w:szCs w:val="24"/>
        </w:rPr>
        <w:t xml:space="preserve"> below. </w:t>
      </w:r>
    </w:p>
    <w:p w:rsidR="005F7F67" w:rsidRPr="000879C5" w:rsidRDefault="005F7F67" w:rsidP="000879C5">
      <w:pPr>
        <w:pStyle w:val="BodyText"/>
        <w:ind w:left="720"/>
        <w:rPr>
          <w:rFonts w:asciiTheme="minorHAnsi" w:hAnsiTheme="minorHAnsi" w:cs="Arial"/>
          <w:szCs w:val="24"/>
        </w:rPr>
      </w:pPr>
    </w:p>
    <w:p w:rsidR="005F7F67" w:rsidRPr="000879C5" w:rsidRDefault="005F7F67" w:rsidP="00C40E40">
      <w:pPr>
        <w:pStyle w:val="BodyText"/>
        <w:ind w:left="720"/>
        <w:rPr>
          <w:rFonts w:asciiTheme="minorHAnsi" w:hAnsiTheme="minorHAnsi" w:cs="Arial"/>
          <w:szCs w:val="24"/>
        </w:rPr>
      </w:pPr>
      <w:r w:rsidRPr="000879C5">
        <w:rPr>
          <w:rFonts w:asciiTheme="minorHAnsi" w:hAnsiTheme="minorHAnsi" w:cs="Arial"/>
          <w:szCs w:val="24"/>
        </w:rPr>
        <w:t xml:space="preserve">Proposals must demonstrate compliance with WMATA’s critical requirements as follows: </w:t>
      </w:r>
    </w:p>
    <w:p w:rsidR="00C40E40" w:rsidRPr="00C40E40" w:rsidRDefault="00C40E40" w:rsidP="00C40E40">
      <w:pPr>
        <w:pStyle w:val="BodyText"/>
        <w:ind w:left="1440"/>
        <w:rPr>
          <w:rFonts w:asciiTheme="minorHAnsi" w:hAnsiTheme="minorHAnsi" w:cs="Arial"/>
          <w:szCs w:val="24"/>
        </w:rPr>
      </w:pPr>
      <w:r w:rsidRPr="00C40E40">
        <w:rPr>
          <w:rFonts w:asciiTheme="minorHAnsi" w:hAnsiTheme="minorHAnsi" w:cs="Arial"/>
          <w:szCs w:val="24"/>
        </w:rPr>
        <w:t>1. Interface with WMATA’s current fare payment system, accepting all current SmarTrip fare media, processing all fare schedule rules, and processing all list service transactions.</w:t>
      </w:r>
    </w:p>
    <w:p w:rsidR="00C40E40" w:rsidRPr="00C40E40" w:rsidRDefault="00C40E40" w:rsidP="00C40E40">
      <w:pPr>
        <w:pStyle w:val="BodyText"/>
        <w:ind w:left="1440"/>
        <w:rPr>
          <w:rFonts w:asciiTheme="minorHAnsi" w:hAnsiTheme="minorHAnsi" w:cs="Arial"/>
          <w:szCs w:val="24"/>
        </w:rPr>
      </w:pPr>
      <w:r w:rsidRPr="00C40E40">
        <w:rPr>
          <w:rFonts w:asciiTheme="minorHAnsi" w:hAnsiTheme="minorHAnsi" w:cs="Arial"/>
          <w:szCs w:val="24"/>
        </w:rPr>
        <w:t xml:space="preserve">2. Comply with all applicable federal and industry standards including ADA, NFPA 130, </w:t>
      </w:r>
      <w:r w:rsidR="0058257F" w:rsidRPr="0058257F">
        <w:rPr>
          <w:rFonts w:asciiTheme="minorHAnsi" w:hAnsiTheme="minorHAnsi" w:cs="Arial"/>
          <w:szCs w:val="24"/>
          <w:highlight w:val="yellow"/>
        </w:rPr>
        <w:t>NFPA 70</w:t>
      </w:r>
      <w:r w:rsidR="0058257F">
        <w:rPr>
          <w:rFonts w:asciiTheme="minorHAnsi" w:hAnsiTheme="minorHAnsi" w:cs="Arial"/>
          <w:szCs w:val="24"/>
        </w:rPr>
        <w:t xml:space="preserve">, </w:t>
      </w:r>
      <w:r w:rsidRPr="00C40E40">
        <w:rPr>
          <w:rFonts w:asciiTheme="minorHAnsi" w:hAnsiTheme="minorHAnsi" w:cs="Arial"/>
          <w:szCs w:val="24"/>
        </w:rPr>
        <w:t>PCI, and Title VI.</w:t>
      </w:r>
    </w:p>
    <w:p w:rsidR="00C40E40" w:rsidRPr="00C40E40" w:rsidRDefault="00C40E40" w:rsidP="00C40E40">
      <w:pPr>
        <w:pStyle w:val="BodyText"/>
        <w:ind w:left="1440"/>
        <w:rPr>
          <w:rFonts w:asciiTheme="minorHAnsi" w:hAnsiTheme="minorHAnsi" w:cs="Arial"/>
          <w:szCs w:val="24"/>
        </w:rPr>
      </w:pPr>
      <w:r w:rsidRPr="00C40E40">
        <w:rPr>
          <w:rFonts w:asciiTheme="minorHAnsi" w:hAnsiTheme="minorHAnsi" w:cs="Arial"/>
          <w:szCs w:val="24"/>
        </w:rPr>
        <w:t>3. Support local, central and porta</w:t>
      </w:r>
      <w:r w:rsidR="0058257F">
        <w:rPr>
          <w:rFonts w:asciiTheme="minorHAnsi" w:hAnsiTheme="minorHAnsi" w:cs="Arial"/>
          <w:szCs w:val="24"/>
        </w:rPr>
        <w:t>ble faregate management. (</w:t>
      </w:r>
      <w:proofErr w:type="gramStart"/>
      <w:r w:rsidR="0058257F">
        <w:rPr>
          <w:rFonts w:asciiTheme="minorHAnsi" w:hAnsiTheme="minorHAnsi" w:cs="Arial"/>
          <w:szCs w:val="24"/>
        </w:rPr>
        <w:t>open</w:t>
      </w:r>
      <w:proofErr w:type="gramEnd"/>
      <w:r w:rsidR="0058257F">
        <w:rPr>
          <w:rFonts w:asciiTheme="minorHAnsi" w:hAnsiTheme="minorHAnsi" w:cs="Arial"/>
          <w:szCs w:val="24"/>
        </w:rPr>
        <w:t xml:space="preserve">, </w:t>
      </w:r>
      <w:r w:rsidRPr="00C40E40">
        <w:rPr>
          <w:rFonts w:asciiTheme="minorHAnsi" w:hAnsiTheme="minorHAnsi" w:cs="Arial"/>
          <w:szCs w:val="24"/>
        </w:rPr>
        <w:t>close, entry/exit configurations)</w:t>
      </w:r>
    </w:p>
    <w:p w:rsidR="00C40E40" w:rsidRPr="00C40E40" w:rsidRDefault="00C40E40" w:rsidP="00C40E40">
      <w:pPr>
        <w:pStyle w:val="BodyText"/>
        <w:ind w:left="1440"/>
        <w:rPr>
          <w:rFonts w:asciiTheme="minorHAnsi" w:hAnsiTheme="minorHAnsi" w:cs="Arial"/>
          <w:szCs w:val="24"/>
        </w:rPr>
      </w:pPr>
      <w:r w:rsidRPr="00C40E40">
        <w:rPr>
          <w:rFonts w:asciiTheme="minorHAnsi" w:hAnsiTheme="minorHAnsi" w:cs="Arial"/>
          <w:szCs w:val="24"/>
        </w:rPr>
        <w:t>4.  Provide secure data storage and communications that includes user and device authentication protocols (demonstrate that data stored locally is not accessible and that the system provides the communication authentications to prevent the data from being accessed by an unauthorized interface).</w:t>
      </w:r>
    </w:p>
    <w:p w:rsidR="00C40E40" w:rsidRPr="00C40E40" w:rsidRDefault="00C40E40" w:rsidP="00C40E40">
      <w:pPr>
        <w:pStyle w:val="BodyText"/>
        <w:ind w:left="1440"/>
        <w:rPr>
          <w:rFonts w:asciiTheme="minorHAnsi" w:hAnsiTheme="minorHAnsi" w:cs="Arial"/>
          <w:szCs w:val="24"/>
        </w:rPr>
      </w:pPr>
      <w:r w:rsidRPr="00C40E40">
        <w:rPr>
          <w:rFonts w:asciiTheme="minorHAnsi" w:hAnsiTheme="minorHAnsi" w:cs="Arial"/>
          <w:szCs w:val="24"/>
        </w:rPr>
        <w:t>5. Support emergency safety functionality including the automatic opening faregate barriers and activation of emergency lighting with the loss of power or with the triggering of WMATA’s emergency alarm system and the automatic retraction or opening of barriers when obstructed.</w:t>
      </w:r>
    </w:p>
    <w:p w:rsidR="00C40E40" w:rsidRPr="00C40E40" w:rsidRDefault="00C40E40" w:rsidP="00C40E40">
      <w:pPr>
        <w:pStyle w:val="BodyText"/>
        <w:ind w:left="1440"/>
        <w:rPr>
          <w:rFonts w:asciiTheme="minorHAnsi" w:hAnsiTheme="minorHAnsi" w:cs="Arial"/>
          <w:szCs w:val="24"/>
        </w:rPr>
      </w:pPr>
      <w:r w:rsidRPr="00C40E40">
        <w:rPr>
          <w:rFonts w:asciiTheme="minorHAnsi" w:hAnsiTheme="minorHAnsi" w:cs="Arial"/>
          <w:szCs w:val="24"/>
        </w:rPr>
        <w:t>6. Process at least 35 ingress or egress transactions per minute.</w:t>
      </w:r>
    </w:p>
    <w:p w:rsidR="00C40E40" w:rsidRPr="00C40E40" w:rsidRDefault="00C40E40" w:rsidP="00C40E40">
      <w:pPr>
        <w:pStyle w:val="BodyText"/>
        <w:ind w:left="1440"/>
        <w:rPr>
          <w:rFonts w:asciiTheme="minorHAnsi" w:hAnsiTheme="minorHAnsi" w:cs="Arial"/>
          <w:szCs w:val="24"/>
        </w:rPr>
      </w:pPr>
      <w:r w:rsidRPr="00C40E40">
        <w:rPr>
          <w:rFonts w:asciiTheme="minorHAnsi" w:hAnsiTheme="minorHAnsi" w:cs="Arial"/>
          <w:szCs w:val="24"/>
        </w:rPr>
        <w:t xml:space="preserve">7. </w:t>
      </w:r>
      <w:r w:rsidRPr="00407D2D">
        <w:rPr>
          <w:rFonts w:asciiTheme="minorHAnsi" w:hAnsiTheme="minorHAnsi" w:cs="Arial"/>
          <w:szCs w:val="24"/>
          <w:highlight w:val="yellow"/>
        </w:rPr>
        <w:t>Support list management services for   2 million elements for each type of list service.</w:t>
      </w:r>
      <w:r w:rsidRPr="00C40E40">
        <w:rPr>
          <w:rFonts w:asciiTheme="minorHAnsi" w:hAnsiTheme="minorHAnsi" w:cs="Arial"/>
          <w:szCs w:val="24"/>
        </w:rPr>
        <w:t xml:space="preserve"> </w:t>
      </w:r>
    </w:p>
    <w:p w:rsidR="005F7F67" w:rsidRPr="000879C5" w:rsidRDefault="00C40E40" w:rsidP="00C40E40">
      <w:pPr>
        <w:pStyle w:val="BodyText"/>
        <w:ind w:left="1440"/>
        <w:rPr>
          <w:rFonts w:asciiTheme="minorHAnsi" w:hAnsiTheme="minorHAnsi"/>
          <w:szCs w:val="24"/>
        </w:rPr>
      </w:pPr>
      <w:r w:rsidRPr="00C40E40">
        <w:rPr>
          <w:rFonts w:asciiTheme="minorHAnsi" w:hAnsiTheme="minorHAnsi" w:cs="Arial"/>
          <w:szCs w:val="24"/>
        </w:rPr>
        <w:t xml:space="preserve">8.  </w:t>
      </w:r>
      <w:r w:rsidRPr="00407D2D">
        <w:rPr>
          <w:rFonts w:asciiTheme="minorHAnsi" w:hAnsiTheme="minorHAnsi" w:cs="Arial"/>
          <w:szCs w:val="24"/>
          <w:highlight w:val="yellow"/>
        </w:rPr>
        <w:t>Have a reliability &gt; 25,000 MCTF</w:t>
      </w:r>
    </w:p>
    <w:p w:rsidR="00C40E40" w:rsidRDefault="00C40E40" w:rsidP="00C40E40">
      <w:pPr>
        <w:pStyle w:val="BodyText"/>
        <w:ind w:left="720"/>
        <w:rPr>
          <w:rFonts w:asciiTheme="minorHAnsi" w:hAnsiTheme="minorHAnsi"/>
          <w:szCs w:val="24"/>
        </w:rPr>
      </w:pPr>
    </w:p>
    <w:p w:rsidR="001853D3" w:rsidRPr="00F612DF" w:rsidRDefault="00FF6958" w:rsidP="001853D3">
      <w:pPr>
        <w:pStyle w:val="ListParagraph"/>
        <w:numPr>
          <w:ilvl w:val="0"/>
          <w:numId w:val="6"/>
        </w:numPr>
        <w:rPr>
          <w:rFonts w:eastAsia="Times New Roman" w:cs="Times New Roman"/>
          <w:snapToGrid w:val="0"/>
          <w:sz w:val="24"/>
          <w:szCs w:val="24"/>
        </w:rPr>
      </w:pPr>
      <w:r w:rsidRPr="00F612DF">
        <w:rPr>
          <w:szCs w:val="24"/>
        </w:rPr>
        <w:t>Page 13</w:t>
      </w:r>
      <w:r w:rsidR="0058257F" w:rsidRPr="00F612DF">
        <w:rPr>
          <w:szCs w:val="24"/>
        </w:rPr>
        <w:t>1,</w:t>
      </w:r>
      <w:r w:rsidRPr="00F612DF">
        <w:rPr>
          <w:szCs w:val="24"/>
        </w:rPr>
        <w:t xml:space="preserve"> </w:t>
      </w:r>
      <w:r w:rsidR="0058257F" w:rsidRPr="00F612DF">
        <w:rPr>
          <w:szCs w:val="24"/>
        </w:rPr>
        <w:t>Part III</w:t>
      </w:r>
      <w:proofErr w:type="gramStart"/>
      <w:r w:rsidR="0058257F" w:rsidRPr="00F612DF">
        <w:rPr>
          <w:szCs w:val="24"/>
        </w:rPr>
        <w:t xml:space="preserve">, </w:t>
      </w:r>
      <w:r w:rsidR="00D8603F" w:rsidRPr="00F612DF">
        <w:rPr>
          <w:szCs w:val="24"/>
        </w:rPr>
        <w:t xml:space="preserve"> Section</w:t>
      </w:r>
      <w:proofErr w:type="gramEnd"/>
      <w:r w:rsidR="00D8603F" w:rsidRPr="00F612DF">
        <w:rPr>
          <w:szCs w:val="24"/>
        </w:rPr>
        <w:t xml:space="preserve"> </w:t>
      </w:r>
      <w:r w:rsidR="006E356D" w:rsidRPr="00F612DF">
        <w:rPr>
          <w:szCs w:val="24"/>
        </w:rPr>
        <w:t>1.1,</w:t>
      </w:r>
      <w:r w:rsidR="00ED23EB" w:rsidRPr="00F612DF">
        <w:rPr>
          <w:szCs w:val="24"/>
        </w:rPr>
        <w:t xml:space="preserve"> Under </w:t>
      </w:r>
      <w:r w:rsidR="006E356D" w:rsidRPr="00F612DF">
        <w:rPr>
          <w:szCs w:val="24"/>
        </w:rPr>
        <w:t>“</w:t>
      </w:r>
      <w:r w:rsidR="0058257F" w:rsidRPr="00F612DF">
        <w:rPr>
          <w:szCs w:val="24"/>
        </w:rPr>
        <w:t>Overview</w:t>
      </w:r>
      <w:r w:rsidR="00ED23EB" w:rsidRPr="00F612DF">
        <w:rPr>
          <w:szCs w:val="24"/>
        </w:rPr>
        <w:t>”</w:t>
      </w:r>
      <w:r w:rsidR="003E5780" w:rsidRPr="00F612DF">
        <w:rPr>
          <w:szCs w:val="24"/>
        </w:rPr>
        <w:t>, First Paragraph</w:t>
      </w:r>
      <w:r w:rsidR="001853D3" w:rsidRPr="00F612DF">
        <w:rPr>
          <w:szCs w:val="24"/>
        </w:rPr>
        <w:t xml:space="preserve"> </w:t>
      </w:r>
      <w:r w:rsidR="001853D3" w:rsidRPr="00F612DF">
        <w:rPr>
          <w:rFonts w:eastAsia="Times New Roman" w:cs="Times New Roman"/>
          <w:snapToGrid w:val="0"/>
          <w:sz w:val="24"/>
          <w:szCs w:val="24"/>
        </w:rPr>
        <w:t xml:space="preserve">is replaced with the paragraph below. </w:t>
      </w:r>
    </w:p>
    <w:p w:rsidR="006B3F6D" w:rsidRPr="000879C5" w:rsidRDefault="006B3F6D" w:rsidP="000879C5">
      <w:pPr>
        <w:pStyle w:val="BodyText"/>
        <w:ind w:left="720"/>
        <w:rPr>
          <w:rFonts w:asciiTheme="minorHAnsi" w:hAnsiTheme="minorHAnsi"/>
          <w:szCs w:val="24"/>
        </w:rPr>
      </w:pPr>
      <w:r w:rsidRPr="00F612DF">
        <w:rPr>
          <w:rFonts w:asciiTheme="minorHAnsi" w:hAnsiTheme="minorHAnsi"/>
          <w:szCs w:val="24"/>
        </w:rPr>
        <w:t>The Washington Metropolitan Area Transit Authority (WMATA, or Metro) is soliciting proposals to support the acquisition, deployment and maintenance to replace current faregates.  The objectives of this effort are to:</w:t>
      </w:r>
    </w:p>
    <w:p w:rsidR="006B3F6D" w:rsidRPr="000879C5" w:rsidRDefault="006B3F6D" w:rsidP="000879C5">
      <w:pPr>
        <w:pStyle w:val="BodyText"/>
        <w:keepLines/>
        <w:numPr>
          <w:ilvl w:val="0"/>
          <w:numId w:val="1"/>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pacing w:before="100" w:beforeAutospacing="1" w:after="100" w:afterAutospacing="1" w:line="240" w:lineRule="auto"/>
        <w:ind w:left="2880"/>
        <w:rPr>
          <w:rFonts w:asciiTheme="minorHAnsi" w:hAnsiTheme="minorHAnsi"/>
          <w:szCs w:val="24"/>
        </w:rPr>
      </w:pPr>
      <w:r w:rsidRPr="000879C5">
        <w:rPr>
          <w:rFonts w:asciiTheme="minorHAnsi" w:hAnsiTheme="minorHAnsi"/>
          <w:szCs w:val="24"/>
        </w:rPr>
        <w:t>Modernize WMATA’s faregates;</w:t>
      </w:r>
    </w:p>
    <w:p w:rsidR="006B3F6D" w:rsidRPr="000879C5" w:rsidRDefault="006B3F6D" w:rsidP="000879C5">
      <w:pPr>
        <w:pStyle w:val="BodyText"/>
        <w:keepLines/>
        <w:numPr>
          <w:ilvl w:val="0"/>
          <w:numId w:val="1"/>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pacing w:before="100" w:beforeAutospacing="1" w:after="100" w:afterAutospacing="1" w:line="240" w:lineRule="auto"/>
        <w:ind w:left="2880"/>
        <w:rPr>
          <w:rFonts w:asciiTheme="minorHAnsi" w:hAnsiTheme="minorHAnsi"/>
          <w:szCs w:val="24"/>
        </w:rPr>
      </w:pPr>
      <w:r w:rsidRPr="000879C5">
        <w:rPr>
          <w:rFonts w:asciiTheme="minorHAnsi" w:hAnsiTheme="minorHAnsi"/>
          <w:szCs w:val="24"/>
        </w:rPr>
        <w:t>Improve the customer experience;</w:t>
      </w:r>
    </w:p>
    <w:p w:rsidR="006B3F6D" w:rsidRPr="000879C5" w:rsidRDefault="006B3F6D" w:rsidP="000879C5">
      <w:pPr>
        <w:pStyle w:val="BodyText"/>
        <w:keepLines/>
        <w:numPr>
          <w:ilvl w:val="0"/>
          <w:numId w:val="1"/>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pacing w:before="100" w:beforeAutospacing="1" w:after="100" w:afterAutospacing="1" w:line="240" w:lineRule="auto"/>
        <w:ind w:left="2880"/>
        <w:rPr>
          <w:rFonts w:asciiTheme="minorHAnsi" w:hAnsiTheme="minorHAnsi"/>
          <w:szCs w:val="24"/>
        </w:rPr>
      </w:pPr>
      <w:r w:rsidRPr="000879C5">
        <w:rPr>
          <w:rFonts w:asciiTheme="minorHAnsi" w:hAnsiTheme="minorHAnsi"/>
          <w:szCs w:val="24"/>
        </w:rPr>
        <w:t xml:space="preserve">Improve operational interfaces; </w:t>
      </w:r>
    </w:p>
    <w:p w:rsidR="006B3F6D" w:rsidRPr="000879C5" w:rsidRDefault="006B3F6D" w:rsidP="000879C5">
      <w:pPr>
        <w:pStyle w:val="BodyText"/>
        <w:keepLines/>
        <w:numPr>
          <w:ilvl w:val="0"/>
          <w:numId w:val="1"/>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pacing w:before="100" w:beforeAutospacing="1" w:after="100" w:afterAutospacing="1" w:line="240" w:lineRule="auto"/>
        <w:ind w:left="2880"/>
        <w:rPr>
          <w:rFonts w:asciiTheme="minorHAnsi" w:hAnsiTheme="minorHAnsi"/>
          <w:szCs w:val="24"/>
        </w:rPr>
      </w:pPr>
      <w:r w:rsidRPr="000879C5">
        <w:rPr>
          <w:rFonts w:asciiTheme="minorHAnsi" w:hAnsiTheme="minorHAnsi"/>
          <w:szCs w:val="24"/>
        </w:rPr>
        <w:t xml:space="preserve">Increase faregate reliability; </w:t>
      </w:r>
    </w:p>
    <w:p w:rsidR="006B3F6D" w:rsidRPr="000879C5" w:rsidRDefault="006B3F6D" w:rsidP="000879C5">
      <w:pPr>
        <w:pStyle w:val="BodyText"/>
        <w:keepLines/>
        <w:numPr>
          <w:ilvl w:val="0"/>
          <w:numId w:val="1"/>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pacing w:before="100" w:beforeAutospacing="1" w:after="100" w:afterAutospacing="1" w:line="240" w:lineRule="auto"/>
        <w:ind w:left="2880"/>
        <w:rPr>
          <w:rFonts w:asciiTheme="minorHAnsi" w:hAnsiTheme="minorHAnsi"/>
          <w:szCs w:val="24"/>
        </w:rPr>
      </w:pPr>
      <w:r w:rsidRPr="000879C5">
        <w:rPr>
          <w:rFonts w:asciiTheme="minorHAnsi" w:hAnsiTheme="minorHAnsi"/>
          <w:szCs w:val="24"/>
        </w:rPr>
        <w:t xml:space="preserve">Reduce opportunity for fare evasion; </w:t>
      </w:r>
    </w:p>
    <w:p w:rsidR="006B3F6D" w:rsidRPr="0058257F" w:rsidRDefault="006B3F6D" w:rsidP="000879C5">
      <w:pPr>
        <w:pStyle w:val="BodyText"/>
        <w:keepLines/>
        <w:numPr>
          <w:ilvl w:val="0"/>
          <w:numId w:val="1"/>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pacing w:before="100" w:beforeAutospacing="1" w:after="100" w:afterAutospacing="1" w:line="240" w:lineRule="auto"/>
        <w:ind w:left="2880"/>
        <w:rPr>
          <w:rFonts w:asciiTheme="minorHAnsi" w:hAnsiTheme="minorHAnsi"/>
          <w:szCs w:val="24"/>
          <w:highlight w:val="yellow"/>
        </w:rPr>
      </w:pPr>
      <w:r w:rsidRPr="0058257F">
        <w:rPr>
          <w:rFonts w:asciiTheme="minorHAnsi" w:hAnsiTheme="minorHAnsi"/>
          <w:szCs w:val="24"/>
          <w:highlight w:val="yellow"/>
        </w:rPr>
        <w:t>Improve list service capabilities;</w:t>
      </w:r>
    </w:p>
    <w:p w:rsidR="006B3F6D" w:rsidRPr="000879C5" w:rsidRDefault="006B3F6D" w:rsidP="000879C5">
      <w:pPr>
        <w:pStyle w:val="BodyText"/>
        <w:keepLines/>
        <w:numPr>
          <w:ilvl w:val="0"/>
          <w:numId w:val="1"/>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pacing w:before="100" w:beforeAutospacing="1" w:after="100" w:afterAutospacing="1" w:line="240" w:lineRule="auto"/>
        <w:ind w:left="2880"/>
        <w:rPr>
          <w:rFonts w:asciiTheme="minorHAnsi" w:hAnsiTheme="minorHAnsi"/>
          <w:szCs w:val="24"/>
        </w:rPr>
      </w:pPr>
      <w:r w:rsidRPr="000879C5">
        <w:rPr>
          <w:rFonts w:asciiTheme="minorHAnsi" w:hAnsiTheme="minorHAnsi"/>
          <w:szCs w:val="24"/>
        </w:rPr>
        <w:t xml:space="preserve">Reduce power consumption; </w:t>
      </w:r>
    </w:p>
    <w:p w:rsidR="006B3F6D" w:rsidRPr="000879C5" w:rsidRDefault="006B3F6D" w:rsidP="000879C5">
      <w:pPr>
        <w:pStyle w:val="BodyText"/>
        <w:keepLines/>
        <w:numPr>
          <w:ilvl w:val="0"/>
          <w:numId w:val="1"/>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pacing w:before="100" w:beforeAutospacing="1" w:after="100" w:afterAutospacing="1" w:line="240" w:lineRule="auto"/>
        <w:ind w:left="2880"/>
        <w:rPr>
          <w:rFonts w:asciiTheme="minorHAnsi" w:hAnsiTheme="minorHAnsi"/>
          <w:szCs w:val="24"/>
        </w:rPr>
      </w:pPr>
      <w:r w:rsidRPr="000879C5">
        <w:rPr>
          <w:rFonts w:asciiTheme="minorHAnsi" w:hAnsiTheme="minorHAnsi"/>
          <w:szCs w:val="24"/>
        </w:rPr>
        <w:t>Provide a pleasing design that is complementary to WM</w:t>
      </w:r>
      <w:r w:rsidR="006D0FB2" w:rsidRPr="000879C5">
        <w:rPr>
          <w:rFonts w:asciiTheme="minorHAnsi" w:hAnsiTheme="minorHAnsi"/>
          <w:szCs w:val="24"/>
        </w:rPr>
        <w:t>ATA’s historic design aesthetic;</w:t>
      </w:r>
      <w:r w:rsidRPr="000879C5">
        <w:rPr>
          <w:rFonts w:asciiTheme="minorHAnsi" w:hAnsiTheme="minorHAnsi"/>
          <w:szCs w:val="24"/>
        </w:rPr>
        <w:t xml:space="preserve"> and</w:t>
      </w:r>
    </w:p>
    <w:p w:rsidR="006B3F6D" w:rsidRPr="000879C5" w:rsidRDefault="006B3F6D" w:rsidP="000879C5">
      <w:pPr>
        <w:pStyle w:val="BodyText"/>
        <w:keepLines/>
        <w:numPr>
          <w:ilvl w:val="0"/>
          <w:numId w:val="1"/>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pacing w:before="100" w:beforeAutospacing="1" w:after="100" w:afterAutospacing="1" w:line="240" w:lineRule="auto"/>
        <w:ind w:left="2880"/>
        <w:rPr>
          <w:rFonts w:asciiTheme="minorHAnsi" w:hAnsiTheme="minorHAnsi"/>
          <w:szCs w:val="24"/>
        </w:rPr>
      </w:pPr>
      <w:r w:rsidRPr="000879C5">
        <w:rPr>
          <w:rFonts w:asciiTheme="minorHAnsi" w:hAnsiTheme="minorHAnsi"/>
          <w:szCs w:val="24"/>
        </w:rPr>
        <w:lastRenderedPageBreak/>
        <w:t>Implement hardware that works with the current fare payment application.</w:t>
      </w:r>
    </w:p>
    <w:p w:rsidR="000879C5" w:rsidRDefault="000879C5">
      <w:pPr>
        <w:rPr>
          <w:sz w:val="24"/>
          <w:szCs w:val="24"/>
        </w:rPr>
      </w:pPr>
    </w:p>
    <w:p w:rsidR="006D6947" w:rsidRPr="00AE277E" w:rsidRDefault="001853D3" w:rsidP="00AE277E">
      <w:pPr>
        <w:pStyle w:val="ListParagraph"/>
        <w:numPr>
          <w:ilvl w:val="0"/>
          <w:numId w:val="6"/>
        </w:numPr>
        <w:rPr>
          <w:sz w:val="24"/>
          <w:szCs w:val="24"/>
        </w:rPr>
      </w:pPr>
      <w:r>
        <w:rPr>
          <w:sz w:val="24"/>
          <w:szCs w:val="24"/>
        </w:rPr>
        <w:t xml:space="preserve">Page 145, </w:t>
      </w:r>
      <w:r w:rsidR="00F612DF">
        <w:rPr>
          <w:sz w:val="24"/>
          <w:szCs w:val="24"/>
        </w:rPr>
        <w:t xml:space="preserve">Part III, </w:t>
      </w:r>
      <w:r w:rsidR="000879C5" w:rsidRPr="00AE277E">
        <w:rPr>
          <w:sz w:val="24"/>
          <w:szCs w:val="24"/>
        </w:rPr>
        <w:t xml:space="preserve">Section 2.3 </w:t>
      </w:r>
      <w:proofErr w:type="spellStart"/>
      <w:r w:rsidR="000879C5" w:rsidRPr="00AE277E">
        <w:rPr>
          <w:sz w:val="24"/>
          <w:szCs w:val="24"/>
        </w:rPr>
        <w:t>Faregate</w:t>
      </w:r>
      <w:proofErr w:type="spellEnd"/>
      <w:r w:rsidR="000879C5" w:rsidRPr="00AE277E">
        <w:rPr>
          <w:sz w:val="24"/>
          <w:szCs w:val="24"/>
        </w:rPr>
        <w:t xml:space="preserve"> </w:t>
      </w:r>
      <w:r w:rsidR="00A36DDD" w:rsidRPr="00A36DDD">
        <w:rPr>
          <w:sz w:val="24"/>
          <w:szCs w:val="24"/>
          <w:highlight w:val="green"/>
        </w:rPr>
        <w:t>Functionality</w:t>
      </w:r>
      <w:r w:rsidR="000879C5" w:rsidRPr="00AE277E">
        <w:rPr>
          <w:sz w:val="24"/>
          <w:szCs w:val="24"/>
        </w:rPr>
        <w:t xml:space="preserve">, </w:t>
      </w:r>
      <w:r w:rsidR="00A36DDD">
        <w:rPr>
          <w:sz w:val="24"/>
          <w:szCs w:val="24"/>
        </w:rPr>
        <w:t xml:space="preserve"> the requirement below is added:</w:t>
      </w:r>
    </w:p>
    <w:p w:rsidR="006B3F6D" w:rsidRPr="000879C5" w:rsidRDefault="006B3F6D" w:rsidP="00AE277E">
      <w:pPr>
        <w:ind w:left="1440"/>
        <w:rPr>
          <w:sz w:val="24"/>
          <w:szCs w:val="24"/>
        </w:rPr>
      </w:pPr>
      <w:r w:rsidRPr="00F612DF">
        <w:rPr>
          <w:sz w:val="24"/>
          <w:szCs w:val="24"/>
          <w:highlight w:val="yellow"/>
        </w:rPr>
        <w:t>FF:  Be equipped with ground fault device.</w:t>
      </w:r>
    </w:p>
    <w:p w:rsidR="000879C5" w:rsidRPr="000879C5" w:rsidRDefault="000879C5">
      <w:pPr>
        <w:rPr>
          <w:sz w:val="24"/>
          <w:szCs w:val="24"/>
        </w:rPr>
      </w:pPr>
    </w:p>
    <w:p w:rsidR="006D0FB2" w:rsidRPr="00A36DDD" w:rsidRDefault="00F612DF" w:rsidP="00317F0D">
      <w:pPr>
        <w:pStyle w:val="ListParagraph"/>
        <w:numPr>
          <w:ilvl w:val="0"/>
          <w:numId w:val="6"/>
        </w:numPr>
        <w:rPr>
          <w:sz w:val="24"/>
          <w:szCs w:val="24"/>
        </w:rPr>
      </w:pPr>
      <w:r w:rsidRPr="00A36DDD">
        <w:rPr>
          <w:sz w:val="24"/>
          <w:szCs w:val="24"/>
        </w:rPr>
        <w:t xml:space="preserve">Page 145, Part III, </w:t>
      </w:r>
      <w:r w:rsidR="000879C5" w:rsidRPr="00A36DDD">
        <w:rPr>
          <w:sz w:val="24"/>
          <w:szCs w:val="24"/>
        </w:rPr>
        <w:t>Section 2.4</w:t>
      </w:r>
      <w:r w:rsidR="008F1CA2">
        <w:rPr>
          <w:sz w:val="24"/>
          <w:szCs w:val="24"/>
        </w:rPr>
        <w:t>,</w:t>
      </w:r>
      <w:r w:rsidR="000879C5" w:rsidRPr="00A36DDD">
        <w:rPr>
          <w:sz w:val="24"/>
          <w:szCs w:val="24"/>
        </w:rPr>
        <w:t xml:space="preserve"> </w:t>
      </w:r>
      <w:bookmarkStart w:id="0" w:name="_GoBack"/>
      <w:bookmarkEnd w:id="0"/>
      <w:r w:rsidR="00A36DDD" w:rsidRPr="00A36DDD">
        <w:rPr>
          <w:sz w:val="24"/>
          <w:szCs w:val="24"/>
        </w:rPr>
        <w:t xml:space="preserve">the </w:t>
      </w:r>
      <w:r w:rsidR="00A36DDD">
        <w:rPr>
          <w:sz w:val="24"/>
          <w:szCs w:val="24"/>
        </w:rPr>
        <w:t>h</w:t>
      </w:r>
      <w:r w:rsidR="000879C5" w:rsidRPr="00A36DDD">
        <w:rPr>
          <w:sz w:val="24"/>
          <w:szCs w:val="24"/>
        </w:rPr>
        <w:t>eading</w:t>
      </w:r>
      <w:r w:rsidR="00A36DDD">
        <w:rPr>
          <w:sz w:val="24"/>
          <w:szCs w:val="24"/>
        </w:rPr>
        <w:t xml:space="preserve"> i</w:t>
      </w:r>
      <w:r w:rsidR="00A36DDD" w:rsidRPr="00A36DDD">
        <w:rPr>
          <w:sz w:val="24"/>
          <w:szCs w:val="24"/>
        </w:rPr>
        <w:t xml:space="preserve">s replaced </w:t>
      </w:r>
      <w:r w:rsidR="000879C5" w:rsidRPr="00A36DDD">
        <w:rPr>
          <w:sz w:val="24"/>
          <w:szCs w:val="24"/>
        </w:rPr>
        <w:t xml:space="preserve"> with the </w:t>
      </w:r>
      <w:r w:rsidR="008F1CA2">
        <w:rPr>
          <w:sz w:val="24"/>
          <w:szCs w:val="24"/>
        </w:rPr>
        <w:t xml:space="preserve">edited </w:t>
      </w:r>
      <w:r w:rsidR="000879C5" w:rsidRPr="00A36DDD">
        <w:rPr>
          <w:sz w:val="24"/>
          <w:szCs w:val="24"/>
        </w:rPr>
        <w:t xml:space="preserve">text below.  </w:t>
      </w:r>
    </w:p>
    <w:p w:rsidR="006D0FB2" w:rsidRPr="000879C5" w:rsidRDefault="006D0FB2" w:rsidP="000879C5">
      <w:pPr>
        <w:ind w:left="720"/>
        <w:rPr>
          <w:sz w:val="24"/>
          <w:szCs w:val="24"/>
        </w:rPr>
      </w:pPr>
      <w:r w:rsidRPr="000879C5">
        <w:rPr>
          <w:sz w:val="24"/>
          <w:szCs w:val="24"/>
        </w:rPr>
        <w:t xml:space="preserve">2.4 </w:t>
      </w:r>
      <w:r w:rsidR="00F612DF" w:rsidRPr="00F612DF">
        <w:rPr>
          <w:strike/>
          <w:sz w:val="24"/>
          <w:szCs w:val="24"/>
          <w:highlight w:val="yellow"/>
        </w:rPr>
        <w:t>Be equipped with ground fault device</w:t>
      </w:r>
      <w:r w:rsidR="00F612DF" w:rsidRPr="00F612DF">
        <w:rPr>
          <w:sz w:val="24"/>
          <w:szCs w:val="24"/>
          <w:highlight w:val="yellow"/>
        </w:rPr>
        <w:t xml:space="preserve"> </w:t>
      </w:r>
      <w:r w:rsidRPr="00F612DF">
        <w:rPr>
          <w:sz w:val="24"/>
          <w:szCs w:val="24"/>
          <w:highlight w:val="yellow"/>
        </w:rPr>
        <w:t>Design Requirements</w:t>
      </w:r>
    </w:p>
    <w:p w:rsidR="000879C5" w:rsidRPr="000879C5" w:rsidRDefault="000879C5" w:rsidP="005F7F67">
      <w:pPr>
        <w:pStyle w:val="BodyText"/>
        <w:suppressLineNumbers/>
        <w:suppressAutoHyphens/>
        <w:rPr>
          <w:rFonts w:asciiTheme="minorHAnsi" w:hAnsiTheme="minorHAnsi"/>
          <w:szCs w:val="24"/>
        </w:rPr>
      </w:pPr>
    </w:p>
    <w:p w:rsidR="000879C5" w:rsidRPr="00AE277E" w:rsidRDefault="00CD124A" w:rsidP="00AE277E">
      <w:pPr>
        <w:pStyle w:val="ListParagraph"/>
        <w:numPr>
          <w:ilvl w:val="0"/>
          <w:numId w:val="6"/>
        </w:numPr>
        <w:rPr>
          <w:sz w:val="24"/>
          <w:szCs w:val="24"/>
        </w:rPr>
      </w:pPr>
      <w:r>
        <w:rPr>
          <w:sz w:val="24"/>
          <w:szCs w:val="24"/>
        </w:rPr>
        <w:t xml:space="preserve">Page 155, Part III, </w:t>
      </w:r>
      <w:r w:rsidR="000879C5" w:rsidRPr="00AE277E">
        <w:rPr>
          <w:sz w:val="24"/>
          <w:szCs w:val="24"/>
        </w:rPr>
        <w:t>Section 2.10.1 -</w:t>
      </w:r>
      <w:proofErr w:type="spellStart"/>
      <w:r w:rsidR="000879C5" w:rsidRPr="00AE277E">
        <w:rPr>
          <w:sz w:val="24"/>
          <w:szCs w:val="24"/>
        </w:rPr>
        <w:t>F</w:t>
      </w:r>
      <w:r>
        <w:rPr>
          <w:sz w:val="24"/>
          <w:szCs w:val="24"/>
        </w:rPr>
        <w:t>aregate</w:t>
      </w:r>
      <w:proofErr w:type="spellEnd"/>
      <w:r>
        <w:rPr>
          <w:sz w:val="24"/>
          <w:szCs w:val="24"/>
        </w:rPr>
        <w:t xml:space="preserve"> Cabinet, </w:t>
      </w:r>
      <w:r w:rsidR="00A36DDD">
        <w:rPr>
          <w:sz w:val="24"/>
          <w:szCs w:val="24"/>
        </w:rPr>
        <w:t>the l</w:t>
      </w:r>
      <w:r>
        <w:rPr>
          <w:sz w:val="24"/>
          <w:szCs w:val="24"/>
        </w:rPr>
        <w:t xml:space="preserve">ast </w:t>
      </w:r>
      <w:r w:rsidR="00A36DDD">
        <w:rPr>
          <w:sz w:val="24"/>
          <w:szCs w:val="24"/>
        </w:rPr>
        <w:t>p</w:t>
      </w:r>
      <w:r>
        <w:rPr>
          <w:sz w:val="24"/>
          <w:szCs w:val="24"/>
        </w:rPr>
        <w:t>aragraph</w:t>
      </w:r>
      <w:r w:rsidR="000879C5" w:rsidRPr="00AE277E">
        <w:rPr>
          <w:sz w:val="24"/>
          <w:szCs w:val="24"/>
        </w:rPr>
        <w:t xml:space="preserve"> on the page</w:t>
      </w:r>
      <w:r>
        <w:rPr>
          <w:sz w:val="24"/>
          <w:szCs w:val="24"/>
        </w:rPr>
        <w:t xml:space="preserve"> is replaced with the </w:t>
      </w:r>
      <w:r w:rsidR="008F1CA2">
        <w:rPr>
          <w:sz w:val="24"/>
          <w:szCs w:val="24"/>
        </w:rPr>
        <w:t xml:space="preserve">edited </w:t>
      </w:r>
      <w:r>
        <w:rPr>
          <w:sz w:val="24"/>
          <w:szCs w:val="24"/>
        </w:rPr>
        <w:t>paragraph below</w:t>
      </w:r>
      <w:r w:rsidR="000879C5" w:rsidRPr="00AE277E">
        <w:rPr>
          <w:sz w:val="24"/>
          <w:szCs w:val="24"/>
        </w:rPr>
        <w:t>.</w:t>
      </w:r>
    </w:p>
    <w:p w:rsidR="00CD124A" w:rsidRDefault="00CD124A" w:rsidP="00CD124A">
      <w:pPr>
        <w:pStyle w:val="BodyText"/>
        <w:ind w:left="1440"/>
      </w:pPr>
      <w:r>
        <w:t xml:space="preserve">The faregate barrier shall be designed to minimize injury to customers if the faregate barrier closes on a customer. The contractor shall calculate and determine the safe closing force and ensure that the closing force does not exceed this value. This closing force analysis shall be submitted for review and approval to WMATA. Each half of the barrier shall move simultaneously. The time required for the barrier panel to move through its full path of travel shall be not more than 700ms. </w:t>
      </w:r>
      <w:r w:rsidRPr="00CD124A">
        <w:rPr>
          <w:strike/>
          <w:highlight w:val="yellow"/>
        </w:rPr>
        <w:t>This time shall be configurable and calibrated locally at each faregate.</w:t>
      </w:r>
      <w:r>
        <w:t xml:space="preserve">    </w:t>
      </w:r>
    </w:p>
    <w:p w:rsidR="00CD124A" w:rsidRPr="000879C5" w:rsidRDefault="00CD124A" w:rsidP="00AE277E">
      <w:pPr>
        <w:ind w:left="1440"/>
        <w:rPr>
          <w:sz w:val="24"/>
          <w:szCs w:val="24"/>
        </w:rPr>
      </w:pPr>
    </w:p>
    <w:p w:rsidR="000879C5" w:rsidRPr="00AE277E" w:rsidRDefault="00CD124A" w:rsidP="00AE277E">
      <w:pPr>
        <w:pStyle w:val="ListParagraph"/>
        <w:numPr>
          <w:ilvl w:val="0"/>
          <w:numId w:val="6"/>
        </w:numPr>
        <w:rPr>
          <w:sz w:val="24"/>
          <w:szCs w:val="24"/>
        </w:rPr>
      </w:pPr>
      <w:r>
        <w:rPr>
          <w:sz w:val="24"/>
          <w:szCs w:val="24"/>
        </w:rPr>
        <w:t xml:space="preserve">Page 156, Part III </w:t>
      </w:r>
      <w:r w:rsidR="000879C5" w:rsidRPr="00AE277E">
        <w:rPr>
          <w:sz w:val="24"/>
          <w:szCs w:val="24"/>
        </w:rPr>
        <w:t xml:space="preserve">Section 2.10.1 - Faregate Cabinet, </w:t>
      </w:r>
      <w:r>
        <w:rPr>
          <w:sz w:val="24"/>
          <w:szCs w:val="24"/>
        </w:rPr>
        <w:t>Second</w:t>
      </w:r>
      <w:r w:rsidR="000879C5" w:rsidRPr="00AE277E">
        <w:rPr>
          <w:sz w:val="24"/>
          <w:szCs w:val="24"/>
        </w:rPr>
        <w:t xml:space="preserve"> Paragraph</w:t>
      </w:r>
      <w:r>
        <w:rPr>
          <w:sz w:val="24"/>
          <w:szCs w:val="24"/>
        </w:rPr>
        <w:t xml:space="preserve"> is replaced with the </w:t>
      </w:r>
      <w:r w:rsidR="008F1CA2">
        <w:rPr>
          <w:sz w:val="24"/>
          <w:szCs w:val="24"/>
        </w:rPr>
        <w:t xml:space="preserve">edited </w:t>
      </w:r>
      <w:r>
        <w:rPr>
          <w:sz w:val="24"/>
          <w:szCs w:val="24"/>
        </w:rPr>
        <w:t>paragraph below.</w:t>
      </w:r>
    </w:p>
    <w:p w:rsidR="000879C5" w:rsidRPr="000879C5" w:rsidRDefault="000879C5" w:rsidP="00AE277E">
      <w:pPr>
        <w:pStyle w:val="BodyText"/>
        <w:ind w:left="1440"/>
        <w:rPr>
          <w:rFonts w:asciiTheme="minorHAnsi" w:hAnsiTheme="minorHAnsi"/>
          <w:szCs w:val="24"/>
        </w:rPr>
      </w:pPr>
      <w:r w:rsidRPr="000879C5">
        <w:rPr>
          <w:rFonts w:asciiTheme="minorHAnsi" w:hAnsiTheme="minorHAnsi"/>
          <w:szCs w:val="24"/>
        </w:rPr>
        <w:t xml:space="preserve">Upon loss of primary power, or receipt of the appropriate signal from the fire control system, the faregate </w:t>
      </w:r>
      <w:r w:rsidRPr="00407D2D">
        <w:rPr>
          <w:rFonts w:asciiTheme="minorHAnsi" w:hAnsiTheme="minorHAnsi"/>
          <w:color w:val="FF0000"/>
          <w:szCs w:val="24"/>
          <w:highlight w:val="yellow"/>
        </w:rPr>
        <w:t>shall complete all in process</w:t>
      </w:r>
      <w:r w:rsidRPr="000879C5">
        <w:rPr>
          <w:rFonts w:asciiTheme="minorHAnsi" w:hAnsiTheme="minorHAnsi"/>
          <w:szCs w:val="24"/>
        </w:rPr>
        <w:t xml:space="preserve"> transactions </w:t>
      </w:r>
      <w:r w:rsidRPr="00FF6958">
        <w:rPr>
          <w:rFonts w:asciiTheme="minorHAnsi" w:hAnsiTheme="minorHAnsi"/>
          <w:strike/>
          <w:szCs w:val="24"/>
          <w:highlight w:val="yellow"/>
        </w:rPr>
        <w:t>stop</w:t>
      </w:r>
      <w:r w:rsidRPr="000879C5">
        <w:rPr>
          <w:rFonts w:asciiTheme="minorHAnsi" w:hAnsiTheme="minorHAnsi"/>
          <w:strike/>
          <w:szCs w:val="24"/>
        </w:rPr>
        <w:t xml:space="preserve"> </w:t>
      </w:r>
      <w:r w:rsidRPr="00407D2D">
        <w:rPr>
          <w:rFonts w:asciiTheme="minorHAnsi" w:hAnsiTheme="minorHAnsi"/>
          <w:strike/>
          <w:szCs w:val="24"/>
          <w:highlight w:val="yellow"/>
        </w:rPr>
        <w:t>processing fares</w:t>
      </w:r>
      <w:r w:rsidRPr="000879C5">
        <w:rPr>
          <w:rFonts w:asciiTheme="minorHAnsi" w:hAnsiTheme="minorHAnsi"/>
          <w:szCs w:val="24"/>
        </w:rPr>
        <w:t xml:space="preserve"> and barriers shall automatically open, permitting –unrestricted exit from the paid area by Customers or as otherwise identified by NFPA 130 or other appropriate District, State or Federal requirement.  Upon restoration of power, the faregate shall return to its normal operating state without manual intervention within not more than five (5) minutes.</w:t>
      </w:r>
    </w:p>
    <w:p w:rsidR="000879C5" w:rsidRPr="000879C5" w:rsidRDefault="000879C5" w:rsidP="000879C5">
      <w:pPr>
        <w:rPr>
          <w:sz w:val="24"/>
          <w:szCs w:val="24"/>
        </w:rPr>
      </w:pPr>
    </w:p>
    <w:p w:rsidR="000879C5" w:rsidRPr="00CD124A" w:rsidRDefault="00CD124A" w:rsidP="00037318">
      <w:pPr>
        <w:pStyle w:val="ListParagraph"/>
        <w:numPr>
          <w:ilvl w:val="0"/>
          <w:numId w:val="6"/>
        </w:numPr>
        <w:ind w:left="1440"/>
        <w:rPr>
          <w:sz w:val="24"/>
          <w:szCs w:val="24"/>
        </w:rPr>
      </w:pPr>
      <w:r w:rsidRPr="00CD124A">
        <w:rPr>
          <w:sz w:val="24"/>
          <w:szCs w:val="24"/>
        </w:rPr>
        <w:t xml:space="preserve">Page 167, Part III </w:t>
      </w:r>
      <w:r w:rsidR="000879C5" w:rsidRPr="00CD124A">
        <w:rPr>
          <w:sz w:val="24"/>
          <w:szCs w:val="24"/>
        </w:rPr>
        <w:t xml:space="preserve">Section 2.28.2 – Commercially Available Software, </w:t>
      </w:r>
      <w:r>
        <w:rPr>
          <w:sz w:val="24"/>
          <w:szCs w:val="24"/>
        </w:rPr>
        <w:t xml:space="preserve">The section below is deleted. </w:t>
      </w:r>
    </w:p>
    <w:p w:rsidR="00E710F7" w:rsidRPr="00407D2D" w:rsidRDefault="00E710F7" w:rsidP="00AE277E">
      <w:pPr>
        <w:pStyle w:val="Heading3"/>
        <w:keepLines w:val="0"/>
        <w:numPr>
          <w:ilvl w:val="0"/>
          <w:numId w:val="0"/>
        </w:numPr>
        <w:tabs>
          <w:tab w:val="num" w:pos="1170"/>
          <w:tab w:val="num" w:pos="1440"/>
        </w:tabs>
        <w:spacing w:before="240" w:after="60"/>
        <w:ind w:left="1440"/>
        <w:rPr>
          <w:color w:val="auto"/>
          <w:highlight w:val="yellow"/>
        </w:rPr>
      </w:pPr>
      <w:bookmarkStart w:id="1" w:name="_Toc506219260"/>
      <w:bookmarkStart w:id="2" w:name="_Toc508887826"/>
      <w:r w:rsidRPr="00E710F7">
        <w:rPr>
          <w:color w:val="auto"/>
        </w:rPr>
        <w:t>2</w:t>
      </w:r>
      <w:r w:rsidRPr="00407D2D">
        <w:rPr>
          <w:color w:val="auto"/>
          <w:highlight w:val="yellow"/>
        </w:rPr>
        <w:t>.2.8</w:t>
      </w:r>
      <w:r w:rsidRPr="00407D2D">
        <w:rPr>
          <w:color w:val="auto"/>
          <w:highlight w:val="yellow"/>
        </w:rPr>
        <w:tab/>
        <w:t>Redundant Data</w:t>
      </w:r>
      <w:bookmarkEnd w:id="1"/>
      <w:bookmarkEnd w:id="2"/>
    </w:p>
    <w:p w:rsidR="00E710F7" w:rsidRPr="00407D2D" w:rsidRDefault="00E710F7" w:rsidP="00AE277E">
      <w:pPr>
        <w:pStyle w:val="BodyText"/>
        <w:ind w:left="1440"/>
        <w:rPr>
          <w:strike/>
        </w:rPr>
      </w:pPr>
      <w:r w:rsidRPr="00407D2D">
        <w:rPr>
          <w:strike/>
          <w:highlight w:val="yellow"/>
        </w:rPr>
        <w:t xml:space="preserve">All data shall be stored in two physically separate locations within each device to provide for the best data security and data redundancy.  Data shall be maintained in these physically separate locations until that data has been successfully transferred to and stored centrally.  Where files are maintained for specific intervals, such as </w:t>
      </w:r>
      <w:r w:rsidRPr="00407D2D">
        <w:rPr>
          <w:strike/>
          <w:highlight w:val="yellow"/>
        </w:rPr>
        <w:lastRenderedPageBreak/>
        <w:t>daily files by faregates or Workstation Terminals, data shall be redundantly stored until these files have been successfully transferred to the central data repository.</w:t>
      </w:r>
    </w:p>
    <w:p w:rsidR="000879C5" w:rsidRPr="000879C5" w:rsidRDefault="000879C5">
      <w:pPr>
        <w:rPr>
          <w:sz w:val="24"/>
          <w:szCs w:val="24"/>
        </w:rPr>
      </w:pPr>
    </w:p>
    <w:p w:rsidR="00075A8B" w:rsidRDefault="00CD124A" w:rsidP="00AE277E">
      <w:pPr>
        <w:pStyle w:val="BodyText"/>
        <w:numPr>
          <w:ilvl w:val="0"/>
          <w:numId w:val="6"/>
        </w:numPr>
        <w:rPr>
          <w:color w:val="000000"/>
        </w:rPr>
      </w:pPr>
      <w:r>
        <w:rPr>
          <w:color w:val="000000"/>
        </w:rPr>
        <w:t xml:space="preserve">Page 173, Part III </w:t>
      </w:r>
      <w:r w:rsidR="00075A8B">
        <w:rPr>
          <w:color w:val="000000"/>
        </w:rPr>
        <w:t xml:space="preserve">Section 3.3.2.5 – Display, </w:t>
      </w:r>
      <w:r>
        <w:rPr>
          <w:color w:val="000000"/>
        </w:rPr>
        <w:t xml:space="preserve">the first paragraph in that section </w:t>
      </w:r>
      <w:r w:rsidR="008F1CA2">
        <w:rPr>
          <w:color w:val="000000"/>
        </w:rPr>
        <w:t xml:space="preserve">is replaced with </w:t>
      </w:r>
      <w:r>
        <w:rPr>
          <w:color w:val="000000"/>
        </w:rPr>
        <w:t xml:space="preserve">the </w:t>
      </w:r>
      <w:r w:rsidR="008F1CA2">
        <w:rPr>
          <w:color w:val="000000"/>
        </w:rPr>
        <w:t xml:space="preserve">edited </w:t>
      </w:r>
      <w:r>
        <w:rPr>
          <w:color w:val="000000"/>
        </w:rPr>
        <w:t xml:space="preserve">paragraph below. </w:t>
      </w:r>
    </w:p>
    <w:p w:rsidR="00075A8B" w:rsidRDefault="00075A8B" w:rsidP="00075A8B">
      <w:pPr>
        <w:pStyle w:val="BodyText"/>
        <w:rPr>
          <w:color w:val="000000"/>
        </w:rPr>
      </w:pPr>
    </w:p>
    <w:p w:rsidR="00075A8B" w:rsidRPr="006C42DF" w:rsidRDefault="00075A8B" w:rsidP="00AE277E">
      <w:pPr>
        <w:pStyle w:val="BodyText"/>
        <w:ind w:left="1440"/>
        <w:rPr>
          <w:color w:val="000000"/>
        </w:rPr>
      </w:pPr>
      <w:r w:rsidRPr="006C42DF">
        <w:rPr>
          <w:color w:val="000000"/>
        </w:rPr>
        <w:t>The display shall be a color touch-screen (capacitive) display measuring at least</w:t>
      </w:r>
      <w:r w:rsidR="00CD124A">
        <w:rPr>
          <w:color w:val="000000"/>
        </w:rPr>
        <w:t xml:space="preserve"> </w:t>
      </w:r>
      <w:r w:rsidR="00CD124A" w:rsidRPr="00CD124A">
        <w:rPr>
          <w:strike/>
          <w:color w:val="000000"/>
        </w:rPr>
        <w:t>7</w:t>
      </w:r>
      <w:r w:rsidRPr="006C42DF">
        <w:rPr>
          <w:color w:val="000000"/>
        </w:rPr>
        <w:t xml:space="preserve"> </w:t>
      </w:r>
      <w:r w:rsidRPr="00407D2D">
        <w:rPr>
          <w:color w:val="FF0000"/>
          <w:highlight w:val="yellow"/>
        </w:rPr>
        <w:t>5</w:t>
      </w:r>
      <w:r w:rsidRPr="00075A8B">
        <w:rPr>
          <w:color w:val="FF0000"/>
        </w:rPr>
        <w:t xml:space="preserve"> </w:t>
      </w:r>
      <w:r w:rsidRPr="006C42DF">
        <w:rPr>
          <w:color w:val="000000"/>
        </w:rPr>
        <w:t xml:space="preserve">inch (diagonal).  The display shall supply a minimum resolution of 1280 x 800 pixels. </w:t>
      </w:r>
    </w:p>
    <w:p w:rsidR="00075A8B" w:rsidRDefault="00075A8B">
      <w:pPr>
        <w:rPr>
          <w:sz w:val="24"/>
          <w:szCs w:val="24"/>
        </w:rPr>
      </w:pPr>
    </w:p>
    <w:p w:rsidR="00AE277E" w:rsidRPr="008F1CA2" w:rsidRDefault="00745427" w:rsidP="008F1CA2">
      <w:pPr>
        <w:pStyle w:val="BodyText"/>
        <w:numPr>
          <w:ilvl w:val="0"/>
          <w:numId w:val="6"/>
        </w:numPr>
        <w:suppressLineNumbers/>
        <w:suppressAutoHyphens/>
        <w:rPr>
          <w:rFonts w:asciiTheme="minorHAnsi" w:hAnsiTheme="minorHAnsi"/>
          <w:szCs w:val="24"/>
          <w:highlight w:val="green"/>
        </w:rPr>
      </w:pPr>
      <w:r>
        <w:rPr>
          <w:rFonts w:asciiTheme="minorHAnsi" w:hAnsiTheme="minorHAnsi"/>
          <w:szCs w:val="24"/>
        </w:rPr>
        <w:t>Page 192, Part III</w:t>
      </w:r>
      <w:r w:rsidR="00AE277E" w:rsidRPr="000879C5">
        <w:rPr>
          <w:rFonts w:asciiTheme="minorHAnsi" w:hAnsiTheme="minorHAnsi"/>
          <w:szCs w:val="24"/>
        </w:rPr>
        <w:t xml:space="preserve"> Section 5.2.1.2</w:t>
      </w:r>
      <w:r w:rsidR="008F1CA2">
        <w:rPr>
          <w:rFonts w:asciiTheme="minorHAnsi" w:hAnsiTheme="minorHAnsi"/>
          <w:szCs w:val="24"/>
        </w:rPr>
        <w:t xml:space="preserve">, </w:t>
      </w:r>
      <w:r w:rsidR="008F1CA2" w:rsidRPr="008F1CA2">
        <w:rPr>
          <w:rFonts w:asciiTheme="minorHAnsi" w:hAnsiTheme="minorHAnsi"/>
          <w:szCs w:val="24"/>
        </w:rPr>
        <w:t>C</w:t>
      </w:r>
      <w:r w:rsidR="008F1CA2" w:rsidRPr="00230DBF">
        <w:rPr>
          <w:rFonts w:asciiTheme="minorHAnsi" w:hAnsiTheme="minorHAnsi"/>
          <w:szCs w:val="24"/>
          <w:highlight w:val="green"/>
        </w:rPr>
        <w:t>ontractor/WMATA Work Site Responsibility Limits</w:t>
      </w:r>
      <w:r w:rsidR="008F1CA2">
        <w:rPr>
          <w:rFonts w:asciiTheme="minorHAnsi" w:hAnsiTheme="minorHAnsi"/>
          <w:szCs w:val="24"/>
        </w:rPr>
        <w:t>,</w:t>
      </w:r>
      <w:r w:rsidR="00230DBF">
        <w:rPr>
          <w:rFonts w:asciiTheme="minorHAnsi" w:hAnsiTheme="minorHAnsi"/>
          <w:szCs w:val="24"/>
        </w:rPr>
        <w:t xml:space="preserve"> this section is replaced with the edited section below.</w:t>
      </w:r>
      <w:r w:rsidR="00AE277E" w:rsidRPr="008F1CA2">
        <w:rPr>
          <w:rFonts w:asciiTheme="minorHAnsi" w:hAnsiTheme="minorHAnsi"/>
          <w:szCs w:val="24"/>
          <w:highlight w:val="green"/>
        </w:rPr>
        <w:t xml:space="preserve"> </w:t>
      </w:r>
    </w:p>
    <w:p w:rsidR="00AE277E" w:rsidRPr="000879C5" w:rsidRDefault="00AE277E" w:rsidP="00AE277E">
      <w:pPr>
        <w:pStyle w:val="BodyText"/>
        <w:suppressLineNumbers/>
        <w:suppressAutoHyphens/>
        <w:rPr>
          <w:rFonts w:asciiTheme="minorHAnsi" w:hAnsiTheme="minorHAnsi"/>
          <w:szCs w:val="24"/>
        </w:rPr>
      </w:pPr>
    </w:p>
    <w:p w:rsidR="00AE277E" w:rsidRPr="000879C5" w:rsidRDefault="00AE277E" w:rsidP="00AE277E">
      <w:pPr>
        <w:pStyle w:val="BodyText"/>
        <w:suppressLineNumbers/>
        <w:suppressAutoHyphens/>
        <w:ind w:left="1440"/>
        <w:rPr>
          <w:rFonts w:asciiTheme="minorHAnsi" w:hAnsiTheme="minorHAnsi"/>
          <w:szCs w:val="24"/>
        </w:rPr>
      </w:pPr>
      <w:r w:rsidRPr="000879C5">
        <w:rPr>
          <w:rFonts w:asciiTheme="minorHAnsi" w:hAnsiTheme="minorHAnsi"/>
          <w:szCs w:val="24"/>
        </w:rPr>
        <w:t>Metrorail station/mezzanine site work responsibility limits between the Contractor and WMATA are as follows:</w:t>
      </w:r>
    </w:p>
    <w:p w:rsidR="00AE277E" w:rsidRPr="000879C5" w:rsidRDefault="00AE277E" w:rsidP="00AE277E">
      <w:pPr>
        <w:pStyle w:val="BodyText"/>
        <w:keepLines/>
        <w:numPr>
          <w:ilvl w:val="0"/>
          <w:numId w:val="7"/>
        </w:numPr>
        <w:suppressLineNumbers/>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520"/>
        </w:tabs>
        <w:suppressAutoHyphens/>
        <w:adjustRightInd w:val="0"/>
        <w:spacing w:before="100" w:beforeAutospacing="1" w:after="100" w:afterAutospacing="1"/>
        <w:ind w:left="2880"/>
        <w:textAlignment w:val="baseline"/>
        <w:rPr>
          <w:rFonts w:asciiTheme="minorHAnsi" w:hAnsiTheme="minorHAnsi"/>
          <w:szCs w:val="24"/>
        </w:rPr>
      </w:pPr>
      <w:r w:rsidRPr="000879C5">
        <w:rPr>
          <w:rFonts w:asciiTheme="minorHAnsi" w:hAnsiTheme="minorHAnsi"/>
          <w:szCs w:val="24"/>
        </w:rPr>
        <w:t>WMATA shall furnish, install, terminate and test one CAT6 Ethernet cables from the mezzanine Ethernet switch to the current faregate to support new faregate communication interface.  At the equipment/component-end, Contractor shall tag and connect the CAT6 (RJ45).</w:t>
      </w:r>
    </w:p>
    <w:p w:rsidR="00AE277E" w:rsidRPr="000879C5" w:rsidRDefault="00AE277E" w:rsidP="00AE277E">
      <w:pPr>
        <w:pStyle w:val="BodyText"/>
        <w:keepLines/>
        <w:numPr>
          <w:ilvl w:val="0"/>
          <w:numId w:val="7"/>
        </w:numPr>
        <w:suppressLineNumbers/>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520"/>
        </w:tabs>
        <w:suppressAutoHyphens/>
        <w:adjustRightInd w:val="0"/>
        <w:spacing w:before="100" w:beforeAutospacing="1" w:after="100" w:afterAutospacing="1"/>
        <w:ind w:left="2880"/>
        <w:textAlignment w:val="baseline"/>
        <w:rPr>
          <w:rFonts w:asciiTheme="minorHAnsi" w:hAnsiTheme="minorHAnsi"/>
          <w:szCs w:val="24"/>
        </w:rPr>
      </w:pPr>
      <w:r w:rsidRPr="000879C5">
        <w:rPr>
          <w:rFonts w:asciiTheme="minorHAnsi" w:hAnsiTheme="minorHAnsi"/>
          <w:szCs w:val="24"/>
        </w:rPr>
        <w:t>WMATA shall furnish and install the mezzanine Ethernet switch and terminate the CAT6 cables to the switch.  .</w:t>
      </w:r>
    </w:p>
    <w:p w:rsidR="00AE277E" w:rsidRPr="000879C5" w:rsidRDefault="00AE277E" w:rsidP="00AE277E">
      <w:pPr>
        <w:pStyle w:val="BodyText"/>
        <w:keepLines/>
        <w:numPr>
          <w:ilvl w:val="0"/>
          <w:numId w:val="7"/>
        </w:numPr>
        <w:suppressLineNumbers/>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520"/>
        </w:tabs>
        <w:suppressAutoHyphens/>
        <w:adjustRightInd w:val="0"/>
        <w:spacing w:before="100" w:beforeAutospacing="1" w:after="100" w:afterAutospacing="1"/>
        <w:ind w:left="2880"/>
        <w:textAlignment w:val="baseline"/>
        <w:rPr>
          <w:rFonts w:asciiTheme="minorHAnsi" w:hAnsiTheme="minorHAnsi"/>
          <w:szCs w:val="24"/>
        </w:rPr>
      </w:pPr>
      <w:r w:rsidRPr="000879C5">
        <w:rPr>
          <w:rFonts w:asciiTheme="minorHAnsi" w:hAnsiTheme="minorHAnsi"/>
          <w:szCs w:val="24"/>
        </w:rPr>
        <w:t>WMATA shall furnish, install, terminate and test the fiber optic cable from the mezzanine Ethernet switch to the Communications Equipment Room (CER).</w:t>
      </w:r>
    </w:p>
    <w:p w:rsidR="00AE277E" w:rsidRPr="000879C5" w:rsidRDefault="00AE277E" w:rsidP="00AE277E">
      <w:pPr>
        <w:pStyle w:val="BodyText"/>
        <w:keepLines/>
        <w:numPr>
          <w:ilvl w:val="0"/>
          <w:numId w:val="7"/>
        </w:numPr>
        <w:suppressLineNumbers/>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520"/>
        </w:tabs>
        <w:suppressAutoHyphens/>
        <w:adjustRightInd w:val="0"/>
        <w:spacing w:before="100" w:beforeAutospacing="1" w:after="100" w:afterAutospacing="1"/>
        <w:ind w:left="2880"/>
        <w:textAlignment w:val="baseline"/>
        <w:rPr>
          <w:rFonts w:asciiTheme="minorHAnsi" w:hAnsiTheme="minorHAnsi"/>
          <w:szCs w:val="24"/>
        </w:rPr>
      </w:pPr>
      <w:r w:rsidRPr="000879C5">
        <w:rPr>
          <w:rFonts w:asciiTheme="minorHAnsi" w:hAnsiTheme="minorHAnsi"/>
          <w:szCs w:val="24"/>
        </w:rPr>
        <w:t>WMATA shall provide the CER Ethernet connection to the MetroNet network.</w:t>
      </w:r>
    </w:p>
    <w:p w:rsidR="00AE277E" w:rsidRPr="000879C5" w:rsidRDefault="00AE277E" w:rsidP="00AE277E">
      <w:pPr>
        <w:pStyle w:val="BodyText"/>
        <w:keepLines/>
        <w:numPr>
          <w:ilvl w:val="0"/>
          <w:numId w:val="7"/>
        </w:numPr>
        <w:suppressLineNumbers/>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520"/>
        </w:tabs>
        <w:suppressAutoHyphens/>
        <w:adjustRightInd w:val="0"/>
        <w:spacing w:before="100" w:beforeAutospacing="1" w:after="100" w:afterAutospacing="1"/>
        <w:ind w:left="2880"/>
        <w:textAlignment w:val="baseline"/>
        <w:rPr>
          <w:rFonts w:asciiTheme="minorHAnsi" w:hAnsiTheme="minorHAnsi"/>
          <w:szCs w:val="24"/>
        </w:rPr>
      </w:pPr>
      <w:r w:rsidRPr="000879C5">
        <w:rPr>
          <w:rFonts w:asciiTheme="minorHAnsi" w:hAnsiTheme="minorHAnsi"/>
          <w:szCs w:val="24"/>
        </w:rPr>
        <w:t xml:space="preserve">As required, WMATA shall furnish and install new power cables from the electrical panel board to the kiosk to be used </w:t>
      </w:r>
      <w:r w:rsidR="00745427">
        <w:rPr>
          <w:rFonts w:asciiTheme="minorHAnsi" w:hAnsiTheme="minorHAnsi"/>
          <w:szCs w:val="24"/>
        </w:rPr>
        <w:t xml:space="preserve">for </w:t>
      </w:r>
      <w:r w:rsidR="00745427" w:rsidRPr="00745427">
        <w:rPr>
          <w:rFonts w:asciiTheme="minorHAnsi" w:hAnsiTheme="minorHAnsi"/>
          <w:szCs w:val="24"/>
          <w:highlight w:val="yellow"/>
        </w:rPr>
        <w:t xml:space="preserve">new faregate arrays </w:t>
      </w:r>
      <w:r w:rsidR="00745427">
        <w:rPr>
          <w:rFonts w:asciiTheme="minorHAnsi" w:hAnsiTheme="minorHAnsi"/>
          <w:szCs w:val="24"/>
          <w:highlight w:val="yellow"/>
        </w:rPr>
        <w:t xml:space="preserve">or extended faregate arrays </w:t>
      </w:r>
      <w:r w:rsidR="00745427" w:rsidRPr="00745427">
        <w:rPr>
          <w:rFonts w:asciiTheme="minorHAnsi" w:hAnsiTheme="minorHAnsi"/>
          <w:szCs w:val="24"/>
          <w:highlight w:val="yellow"/>
        </w:rPr>
        <w:t>that do not have power receptacles already installed</w:t>
      </w:r>
      <w:r w:rsidR="00745427">
        <w:rPr>
          <w:rFonts w:asciiTheme="minorHAnsi" w:hAnsiTheme="minorHAnsi"/>
          <w:szCs w:val="24"/>
        </w:rPr>
        <w:t xml:space="preserve">. </w:t>
      </w:r>
      <w:r w:rsidR="00745427" w:rsidRPr="00745427">
        <w:rPr>
          <w:rFonts w:asciiTheme="minorHAnsi" w:hAnsiTheme="minorHAnsi"/>
          <w:strike/>
          <w:szCs w:val="24"/>
        </w:rPr>
        <w:t>I</w:t>
      </w:r>
      <w:r w:rsidRPr="00745427">
        <w:rPr>
          <w:rFonts w:asciiTheme="minorHAnsi" w:hAnsiTheme="minorHAnsi"/>
          <w:strike/>
          <w:szCs w:val="24"/>
        </w:rPr>
        <w:t>f new power circuits are required to support new faregates</w:t>
      </w:r>
      <w:r w:rsidRPr="000879C5">
        <w:rPr>
          <w:rFonts w:asciiTheme="minorHAnsi" w:hAnsiTheme="minorHAnsi"/>
          <w:szCs w:val="24"/>
        </w:rPr>
        <w:t xml:space="preserve"> (it is anticipated that new faregates will use power circuits and receptacles th</w:t>
      </w:r>
      <w:r w:rsidR="00745427">
        <w:rPr>
          <w:rFonts w:asciiTheme="minorHAnsi" w:hAnsiTheme="minorHAnsi"/>
          <w:szCs w:val="24"/>
        </w:rPr>
        <w:t xml:space="preserve">at support current faregates).  </w:t>
      </w:r>
    </w:p>
    <w:p w:rsidR="00AE277E" w:rsidRPr="000879C5" w:rsidRDefault="00AE277E" w:rsidP="00AE277E">
      <w:pPr>
        <w:pStyle w:val="BodyText"/>
        <w:keepLines/>
        <w:numPr>
          <w:ilvl w:val="1"/>
          <w:numId w:val="7"/>
        </w:numPr>
        <w:suppressLineNumbers/>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880"/>
        </w:tabs>
        <w:suppressAutoHyphens/>
        <w:adjustRightInd w:val="0"/>
        <w:spacing w:before="100" w:beforeAutospacing="1" w:after="100" w:afterAutospacing="1"/>
        <w:ind w:left="3240"/>
        <w:textAlignment w:val="baseline"/>
        <w:rPr>
          <w:rFonts w:asciiTheme="minorHAnsi" w:hAnsiTheme="minorHAnsi"/>
          <w:szCs w:val="24"/>
        </w:rPr>
      </w:pPr>
      <w:r w:rsidRPr="000879C5">
        <w:rPr>
          <w:rFonts w:asciiTheme="minorHAnsi" w:hAnsiTheme="minorHAnsi"/>
          <w:szCs w:val="24"/>
        </w:rPr>
        <w:t xml:space="preserve">Spare cables shall be cut to ample length, and be provided without any type of end connector.  Contractor shall tag and terminate power cables to their equipment if needed. </w:t>
      </w:r>
    </w:p>
    <w:p w:rsidR="00AE277E" w:rsidRPr="000879C5" w:rsidRDefault="00AE277E" w:rsidP="00AE277E">
      <w:pPr>
        <w:pStyle w:val="BodyText"/>
        <w:keepLines/>
        <w:numPr>
          <w:ilvl w:val="0"/>
          <w:numId w:val="7"/>
        </w:numPr>
        <w:suppressLineNumbers/>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520"/>
        </w:tabs>
        <w:suppressAutoHyphens/>
        <w:adjustRightInd w:val="0"/>
        <w:spacing w:before="100" w:beforeAutospacing="1" w:after="100" w:afterAutospacing="1"/>
        <w:ind w:left="2880"/>
        <w:textAlignment w:val="baseline"/>
        <w:rPr>
          <w:rFonts w:asciiTheme="minorHAnsi" w:hAnsiTheme="minorHAnsi"/>
          <w:szCs w:val="24"/>
        </w:rPr>
      </w:pPr>
      <w:r w:rsidRPr="000879C5">
        <w:rPr>
          <w:rFonts w:asciiTheme="minorHAnsi" w:hAnsiTheme="minorHAnsi"/>
          <w:szCs w:val="24"/>
        </w:rPr>
        <w:t>WMATA shall handle and manage all power circuits at the mezzanine/station’s electrical panel board(s).</w:t>
      </w:r>
    </w:p>
    <w:p w:rsidR="00AE277E" w:rsidRPr="000879C5" w:rsidRDefault="00AE277E" w:rsidP="00AE277E">
      <w:pPr>
        <w:pStyle w:val="BodyText"/>
        <w:keepLines/>
        <w:numPr>
          <w:ilvl w:val="0"/>
          <w:numId w:val="7"/>
        </w:numPr>
        <w:suppressLineNumbers/>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520"/>
        </w:tabs>
        <w:suppressAutoHyphens/>
        <w:adjustRightInd w:val="0"/>
        <w:spacing w:before="100" w:beforeAutospacing="1" w:after="100" w:afterAutospacing="1"/>
        <w:ind w:left="2880"/>
        <w:textAlignment w:val="baseline"/>
        <w:rPr>
          <w:rFonts w:asciiTheme="minorHAnsi" w:hAnsiTheme="minorHAnsi"/>
          <w:szCs w:val="24"/>
        </w:rPr>
      </w:pPr>
      <w:r w:rsidRPr="000879C5">
        <w:rPr>
          <w:rFonts w:asciiTheme="minorHAnsi" w:hAnsiTheme="minorHAnsi"/>
          <w:szCs w:val="24"/>
        </w:rPr>
        <w:t>WMATA shall maintain operation of all existing AFC System equipment and connection cabling at the station.</w:t>
      </w:r>
    </w:p>
    <w:p w:rsidR="00AE277E" w:rsidRPr="000879C5" w:rsidRDefault="00AE277E" w:rsidP="00AE277E">
      <w:pPr>
        <w:pStyle w:val="BodyText"/>
        <w:keepLines/>
        <w:numPr>
          <w:ilvl w:val="0"/>
          <w:numId w:val="7"/>
        </w:numPr>
        <w:suppressLineNumbers/>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520"/>
        </w:tabs>
        <w:suppressAutoHyphens/>
        <w:adjustRightInd w:val="0"/>
        <w:spacing w:before="100" w:beforeAutospacing="1" w:after="100" w:afterAutospacing="1"/>
        <w:ind w:left="2880"/>
        <w:textAlignment w:val="baseline"/>
        <w:rPr>
          <w:rFonts w:asciiTheme="minorHAnsi" w:hAnsiTheme="minorHAnsi"/>
          <w:szCs w:val="24"/>
        </w:rPr>
      </w:pPr>
      <w:r w:rsidRPr="000879C5">
        <w:rPr>
          <w:rFonts w:asciiTheme="minorHAnsi" w:hAnsiTheme="minorHAnsi"/>
          <w:szCs w:val="24"/>
        </w:rPr>
        <w:lastRenderedPageBreak/>
        <w:t xml:space="preserve">WMATA shall perform all floor tiling repair work, however if tiles are damaged at the time of installation, the Contractor is responsible for ensuring that the site is free of tripping or other safety hazards while tile repair work is coordinated. </w:t>
      </w:r>
    </w:p>
    <w:p w:rsidR="00AE277E" w:rsidRPr="000879C5" w:rsidRDefault="00AE277E" w:rsidP="00AE277E">
      <w:pPr>
        <w:pStyle w:val="BodyText"/>
        <w:keepLines/>
        <w:numPr>
          <w:ilvl w:val="0"/>
          <w:numId w:val="7"/>
        </w:numPr>
        <w:suppressLineNumbers/>
        <w:tabs>
          <w:tab w:val="clear" w:pos="1584"/>
          <w:tab w:val="clear" w:pos="216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880"/>
        </w:tabs>
        <w:suppressAutoHyphens/>
        <w:adjustRightInd w:val="0"/>
        <w:spacing w:before="100" w:beforeAutospacing="1" w:after="100" w:afterAutospacing="1"/>
        <w:ind w:left="2880"/>
        <w:textAlignment w:val="baseline"/>
        <w:rPr>
          <w:rFonts w:asciiTheme="minorHAnsi" w:hAnsiTheme="minorHAnsi"/>
          <w:szCs w:val="24"/>
        </w:rPr>
      </w:pPr>
      <w:r w:rsidRPr="000879C5">
        <w:rPr>
          <w:rFonts w:asciiTheme="minorHAnsi" w:hAnsiTheme="minorHAnsi"/>
          <w:szCs w:val="24"/>
        </w:rPr>
        <w:t>Contractor shall be responsible for any damage incurred to the cables or the cable infrastructure.</w:t>
      </w:r>
    </w:p>
    <w:p w:rsidR="00AE277E" w:rsidRPr="00745427" w:rsidRDefault="00AE277E" w:rsidP="00AE277E">
      <w:pPr>
        <w:pStyle w:val="BodyText"/>
        <w:keepLines/>
        <w:numPr>
          <w:ilvl w:val="0"/>
          <w:numId w:val="7"/>
        </w:numPr>
        <w:suppressLineNumbers/>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num" w:pos="2520"/>
        </w:tabs>
        <w:suppressAutoHyphens/>
        <w:adjustRightInd w:val="0"/>
        <w:spacing w:before="100" w:beforeAutospacing="1" w:after="100" w:afterAutospacing="1"/>
        <w:ind w:left="2880"/>
        <w:textAlignment w:val="baseline"/>
        <w:rPr>
          <w:rFonts w:asciiTheme="minorHAnsi" w:hAnsiTheme="minorHAnsi"/>
          <w:szCs w:val="24"/>
          <w:highlight w:val="yellow"/>
        </w:rPr>
      </w:pPr>
      <w:r w:rsidRPr="00745427">
        <w:rPr>
          <w:rFonts w:asciiTheme="minorHAnsi" w:hAnsiTheme="minorHAnsi"/>
          <w:szCs w:val="24"/>
          <w:highlight w:val="yellow"/>
        </w:rPr>
        <w:t>Contractor shall be responsible for replacing and/or repositioning electrical receptacles inside the faregate cabinets</w:t>
      </w:r>
      <w:r w:rsidR="00745427" w:rsidRPr="00745427">
        <w:rPr>
          <w:rFonts w:asciiTheme="minorHAnsi" w:hAnsiTheme="minorHAnsi"/>
          <w:szCs w:val="24"/>
          <w:highlight w:val="yellow"/>
        </w:rPr>
        <w:t xml:space="preserve"> where existing receptacles interfere with faregate installation and for replacing receptacles </w:t>
      </w:r>
      <w:r w:rsidRPr="00745427">
        <w:rPr>
          <w:rFonts w:asciiTheme="minorHAnsi" w:hAnsiTheme="minorHAnsi"/>
          <w:szCs w:val="24"/>
          <w:highlight w:val="yellow"/>
        </w:rPr>
        <w:t xml:space="preserve">in instances where </w:t>
      </w:r>
      <w:r w:rsidR="00745427" w:rsidRPr="00745427">
        <w:rPr>
          <w:rFonts w:asciiTheme="minorHAnsi" w:hAnsiTheme="minorHAnsi"/>
          <w:szCs w:val="24"/>
          <w:highlight w:val="yellow"/>
        </w:rPr>
        <w:t xml:space="preserve">existing </w:t>
      </w:r>
      <w:r w:rsidRPr="00745427">
        <w:rPr>
          <w:rFonts w:asciiTheme="minorHAnsi" w:hAnsiTheme="minorHAnsi"/>
          <w:szCs w:val="24"/>
          <w:highlight w:val="yellow"/>
        </w:rPr>
        <w:t xml:space="preserve">power </w:t>
      </w:r>
      <w:r w:rsidR="00745427" w:rsidRPr="00745427">
        <w:rPr>
          <w:rFonts w:asciiTheme="minorHAnsi" w:hAnsiTheme="minorHAnsi"/>
          <w:szCs w:val="24"/>
          <w:highlight w:val="yellow"/>
        </w:rPr>
        <w:t>is not usable.</w:t>
      </w:r>
      <w:r w:rsidRPr="00745427">
        <w:rPr>
          <w:rFonts w:asciiTheme="minorHAnsi" w:hAnsiTheme="minorHAnsi"/>
          <w:szCs w:val="24"/>
          <w:highlight w:val="yellow"/>
        </w:rPr>
        <w:t xml:space="preserve"> In instances where the replacement of the power receptacles do</w:t>
      </w:r>
      <w:r w:rsidR="00745427" w:rsidRPr="00745427">
        <w:rPr>
          <w:rFonts w:asciiTheme="minorHAnsi" w:hAnsiTheme="minorHAnsi"/>
          <w:szCs w:val="24"/>
          <w:highlight w:val="yellow"/>
        </w:rPr>
        <w:t>es</w:t>
      </w:r>
      <w:r w:rsidRPr="00745427">
        <w:rPr>
          <w:rFonts w:asciiTheme="minorHAnsi" w:hAnsiTheme="minorHAnsi"/>
          <w:szCs w:val="24"/>
          <w:highlight w:val="yellow"/>
        </w:rPr>
        <w:t xml:space="preserve"> not resolve </w:t>
      </w:r>
      <w:r w:rsidR="00745427" w:rsidRPr="00745427">
        <w:rPr>
          <w:rFonts w:asciiTheme="minorHAnsi" w:hAnsiTheme="minorHAnsi"/>
          <w:szCs w:val="24"/>
          <w:highlight w:val="yellow"/>
        </w:rPr>
        <w:t>the power issue</w:t>
      </w:r>
      <w:r w:rsidRPr="00745427">
        <w:rPr>
          <w:rFonts w:asciiTheme="minorHAnsi" w:hAnsiTheme="minorHAnsi"/>
          <w:szCs w:val="24"/>
          <w:highlight w:val="yellow"/>
        </w:rPr>
        <w:t xml:space="preserve">, it will be WMATA’s responsibility to further troubleshoot the circuit.  </w:t>
      </w:r>
    </w:p>
    <w:p w:rsidR="006D0FB2" w:rsidRPr="00AE277E" w:rsidRDefault="00745427" w:rsidP="00AE277E">
      <w:pPr>
        <w:pStyle w:val="ListParagraph"/>
        <w:numPr>
          <w:ilvl w:val="0"/>
          <w:numId w:val="6"/>
        </w:numPr>
        <w:rPr>
          <w:sz w:val="24"/>
          <w:szCs w:val="24"/>
        </w:rPr>
      </w:pPr>
      <w:r>
        <w:rPr>
          <w:sz w:val="24"/>
          <w:szCs w:val="24"/>
        </w:rPr>
        <w:t xml:space="preserve">Page 193, Part III, </w:t>
      </w:r>
      <w:r w:rsidR="006D0FB2" w:rsidRPr="00AE277E">
        <w:rPr>
          <w:sz w:val="24"/>
          <w:szCs w:val="24"/>
        </w:rPr>
        <w:t>Section 5.2.2</w:t>
      </w:r>
      <w:r w:rsidR="00230DBF">
        <w:rPr>
          <w:sz w:val="24"/>
          <w:szCs w:val="24"/>
        </w:rPr>
        <w:t xml:space="preserve">, </w:t>
      </w:r>
      <w:r w:rsidR="006D0FB2" w:rsidRPr="00AE277E">
        <w:rPr>
          <w:sz w:val="24"/>
          <w:szCs w:val="24"/>
        </w:rPr>
        <w:t>Site Specific Work Plan and Supplemental Work Plan</w:t>
      </w:r>
      <w:proofErr w:type="gramStart"/>
      <w:r w:rsidR="00075A8B" w:rsidRPr="00AE277E">
        <w:rPr>
          <w:sz w:val="24"/>
          <w:szCs w:val="24"/>
        </w:rPr>
        <w:t xml:space="preserve">, </w:t>
      </w:r>
      <w:r>
        <w:rPr>
          <w:sz w:val="24"/>
          <w:szCs w:val="24"/>
        </w:rPr>
        <w:t xml:space="preserve"> sixth</w:t>
      </w:r>
      <w:proofErr w:type="gramEnd"/>
      <w:r>
        <w:rPr>
          <w:sz w:val="24"/>
          <w:szCs w:val="24"/>
        </w:rPr>
        <w:t xml:space="preserve"> paragraph in the section </w:t>
      </w:r>
      <w:r w:rsidR="00230DBF">
        <w:rPr>
          <w:sz w:val="24"/>
          <w:szCs w:val="24"/>
        </w:rPr>
        <w:t xml:space="preserve">is replaced with </w:t>
      </w:r>
      <w:r>
        <w:rPr>
          <w:sz w:val="24"/>
          <w:szCs w:val="24"/>
        </w:rPr>
        <w:t xml:space="preserve">the </w:t>
      </w:r>
      <w:r w:rsidR="00230DBF">
        <w:rPr>
          <w:sz w:val="24"/>
          <w:szCs w:val="24"/>
        </w:rPr>
        <w:t xml:space="preserve">edited </w:t>
      </w:r>
      <w:r>
        <w:rPr>
          <w:sz w:val="24"/>
          <w:szCs w:val="24"/>
        </w:rPr>
        <w:t xml:space="preserve">paragraph below. </w:t>
      </w:r>
    </w:p>
    <w:p w:rsidR="006D0FB2" w:rsidRPr="000879C5" w:rsidRDefault="006D0FB2" w:rsidP="00AE277E">
      <w:pPr>
        <w:pStyle w:val="BodyText"/>
        <w:suppressLineNumbers/>
        <w:suppressAutoHyphens/>
        <w:ind w:left="1440"/>
        <w:rPr>
          <w:rFonts w:asciiTheme="minorHAnsi" w:hAnsiTheme="minorHAnsi"/>
          <w:szCs w:val="24"/>
        </w:rPr>
      </w:pPr>
      <w:r w:rsidRPr="000879C5">
        <w:rPr>
          <w:rFonts w:asciiTheme="minorHAnsi" w:hAnsiTheme="minorHAnsi"/>
          <w:szCs w:val="24"/>
        </w:rPr>
        <w:t xml:space="preserve">The SSWP shall include verification of NFPA 130 equipment compliance.  This includes verification that faregates automatically open in conditions where there is a </w:t>
      </w:r>
      <w:r w:rsidR="00693469" w:rsidRPr="00693469">
        <w:rPr>
          <w:rFonts w:asciiTheme="minorHAnsi" w:hAnsiTheme="minorHAnsi"/>
          <w:strike/>
          <w:szCs w:val="24"/>
        </w:rPr>
        <w:t>large</w:t>
      </w:r>
      <w:r w:rsidR="00693469">
        <w:rPr>
          <w:rFonts w:asciiTheme="minorHAnsi" w:hAnsiTheme="minorHAnsi"/>
          <w:szCs w:val="24"/>
        </w:rPr>
        <w:t xml:space="preserve"> </w:t>
      </w:r>
      <w:r w:rsidRPr="00693469">
        <w:rPr>
          <w:rFonts w:asciiTheme="minorHAnsi" w:hAnsiTheme="minorHAnsi"/>
          <w:szCs w:val="24"/>
          <w:highlight w:val="yellow"/>
        </w:rPr>
        <w:t>lack</w:t>
      </w:r>
      <w:r w:rsidRPr="00693469">
        <w:rPr>
          <w:rFonts w:asciiTheme="minorHAnsi" w:hAnsiTheme="minorHAnsi"/>
          <w:szCs w:val="24"/>
        </w:rPr>
        <w:t xml:space="preserve"> </w:t>
      </w:r>
      <w:r w:rsidRPr="000879C5">
        <w:rPr>
          <w:rFonts w:asciiTheme="minorHAnsi" w:hAnsiTheme="minorHAnsi"/>
          <w:szCs w:val="24"/>
        </w:rPr>
        <w:t xml:space="preserve">of power, ground fault, emergency alarm, and activation by manual switch. The SSWP shall also include plans and procedures for Fire Watch Protection if needed. </w:t>
      </w:r>
    </w:p>
    <w:p w:rsidR="00D8603F" w:rsidRDefault="00D8603F" w:rsidP="00AE277E">
      <w:pPr>
        <w:pStyle w:val="BodyText"/>
        <w:suppressLineNumbers/>
        <w:suppressAutoHyphens/>
        <w:ind w:left="720"/>
        <w:rPr>
          <w:rFonts w:asciiTheme="minorHAnsi" w:hAnsiTheme="minorHAnsi"/>
          <w:szCs w:val="24"/>
        </w:rPr>
      </w:pPr>
    </w:p>
    <w:p w:rsidR="0042658C" w:rsidRDefault="0042658C" w:rsidP="0042658C">
      <w:pPr>
        <w:pStyle w:val="BodyText"/>
        <w:numPr>
          <w:ilvl w:val="0"/>
          <w:numId w:val="6"/>
        </w:numPr>
        <w:suppressLineNumbers/>
        <w:suppressAutoHyphens/>
        <w:rPr>
          <w:rFonts w:asciiTheme="minorHAnsi" w:hAnsiTheme="minorHAnsi"/>
          <w:szCs w:val="24"/>
        </w:rPr>
      </w:pPr>
      <w:r>
        <w:rPr>
          <w:rFonts w:asciiTheme="minorHAnsi" w:hAnsiTheme="minorHAnsi"/>
          <w:szCs w:val="24"/>
        </w:rPr>
        <w:t xml:space="preserve">Page 48, Part 1, Liquidated Damages for Delay, </w:t>
      </w:r>
      <w:proofErr w:type="gramStart"/>
      <w:r>
        <w:rPr>
          <w:rFonts w:asciiTheme="minorHAnsi" w:hAnsiTheme="minorHAnsi"/>
          <w:szCs w:val="24"/>
        </w:rPr>
        <w:t>Replace</w:t>
      </w:r>
      <w:proofErr w:type="gramEnd"/>
      <w:r>
        <w:rPr>
          <w:rFonts w:asciiTheme="minorHAnsi" w:hAnsiTheme="minorHAnsi"/>
          <w:szCs w:val="24"/>
        </w:rPr>
        <w:t xml:space="preserve"> Table 1 with the</w:t>
      </w:r>
      <w:r w:rsidR="00D56A72">
        <w:rPr>
          <w:rFonts w:asciiTheme="minorHAnsi" w:hAnsiTheme="minorHAnsi"/>
          <w:szCs w:val="24"/>
        </w:rPr>
        <w:t xml:space="preserve"> edited</w:t>
      </w:r>
      <w:r>
        <w:rPr>
          <w:rFonts w:asciiTheme="minorHAnsi" w:hAnsiTheme="minorHAnsi"/>
          <w:szCs w:val="24"/>
        </w:rPr>
        <w:t xml:space="preserve"> Table below.</w:t>
      </w:r>
    </w:p>
    <w:p w:rsidR="0042658C" w:rsidRDefault="0042658C" w:rsidP="0042658C">
      <w:pPr>
        <w:pStyle w:val="BodyText"/>
        <w:suppressLineNumbers/>
        <w:suppressAutoHyphens/>
        <w:ind w:left="720"/>
        <w:rPr>
          <w:rFonts w:asciiTheme="minorHAnsi" w:hAnsiTheme="minorHAnsi"/>
          <w:szCs w:val="24"/>
        </w:rPr>
      </w:pPr>
      <w:r>
        <w:rPr>
          <w:rFonts w:asciiTheme="minorHAnsi" w:hAnsiTheme="minorHAnsi"/>
          <w:szCs w:val="24"/>
        </w:rPr>
        <w:t xml:space="preserve"> </w:t>
      </w:r>
    </w:p>
    <w:p w:rsidR="0042658C" w:rsidRDefault="0042658C" w:rsidP="0042658C">
      <w:pPr>
        <w:ind w:left="720" w:firstLine="720"/>
        <w:jc w:val="center"/>
        <w:rPr>
          <w:rFonts w:ascii="Arial" w:hAnsi="Arial" w:cs="Arial"/>
          <w:sz w:val="21"/>
          <w:szCs w:val="21"/>
        </w:rPr>
      </w:pPr>
      <w:r>
        <w:rPr>
          <w:rFonts w:ascii="Arial" w:hAnsi="Arial" w:cs="Arial"/>
          <w:sz w:val="21"/>
          <w:szCs w:val="21"/>
        </w:rPr>
        <w:t>Table 1 – Project Milestones and Durations</w:t>
      </w:r>
    </w:p>
    <w:p w:rsidR="0042658C" w:rsidRDefault="0042658C" w:rsidP="0042658C">
      <w:pPr>
        <w:rPr>
          <w:rFonts w:ascii="Arial" w:hAnsi="Arial" w:cs="Arial"/>
          <w:sz w:val="21"/>
          <w:szCs w:val="21"/>
        </w:rPr>
      </w:pPr>
    </w:p>
    <w:tbl>
      <w:tblPr>
        <w:tblW w:w="0" w:type="auto"/>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2225"/>
        <w:gridCol w:w="1419"/>
        <w:gridCol w:w="1701"/>
        <w:gridCol w:w="793"/>
      </w:tblGrid>
      <w:tr w:rsidR="0042658C" w:rsidTr="0042658C">
        <w:tc>
          <w:tcPr>
            <w:tcW w:w="458" w:type="dxa"/>
            <w:tcBorders>
              <w:top w:val="single" w:sz="4" w:space="0" w:color="000000"/>
              <w:left w:val="single" w:sz="4" w:space="0" w:color="000000"/>
              <w:bottom w:val="single" w:sz="4" w:space="0" w:color="000000"/>
              <w:right w:val="single" w:sz="4" w:space="0" w:color="000000"/>
            </w:tcBorders>
          </w:tcPr>
          <w:p w:rsidR="0042658C" w:rsidRDefault="0042658C">
            <w:pPr>
              <w:rPr>
                <w:rFonts w:ascii="Arial" w:hAnsi="Arial" w:cs="Arial"/>
                <w:sz w:val="21"/>
                <w:szCs w:val="21"/>
              </w:rPr>
            </w:pPr>
          </w:p>
        </w:tc>
        <w:tc>
          <w:tcPr>
            <w:tcW w:w="2434"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Description</w:t>
            </w:r>
          </w:p>
        </w:tc>
        <w:tc>
          <w:tcPr>
            <w:tcW w:w="1419"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Start</w:t>
            </w:r>
          </w:p>
        </w:tc>
        <w:tc>
          <w:tcPr>
            <w:tcW w:w="1982"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End</w:t>
            </w:r>
          </w:p>
        </w:tc>
        <w:tc>
          <w:tcPr>
            <w:tcW w:w="861"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LD</w:t>
            </w:r>
          </w:p>
        </w:tc>
      </w:tr>
      <w:tr w:rsidR="0042658C" w:rsidTr="0042658C">
        <w:tc>
          <w:tcPr>
            <w:tcW w:w="458"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Mobilization</w:t>
            </w:r>
          </w:p>
        </w:tc>
        <w:tc>
          <w:tcPr>
            <w:tcW w:w="2434"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Onboarding resources and deliver of project planning deliverables </w:t>
            </w:r>
          </w:p>
        </w:tc>
        <w:tc>
          <w:tcPr>
            <w:tcW w:w="1419"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NTP</w:t>
            </w:r>
          </w:p>
        </w:tc>
        <w:tc>
          <w:tcPr>
            <w:tcW w:w="1982"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+ 45 days</w:t>
            </w:r>
          </w:p>
        </w:tc>
        <w:tc>
          <w:tcPr>
            <w:tcW w:w="861"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No</w:t>
            </w:r>
          </w:p>
        </w:tc>
      </w:tr>
      <w:tr w:rsidR="0042658C" w:rsidTr="0042658C">
        <w:tc>
          <w:tcPr>
            <w:tcW w:w="458"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Design Review </w:t>
            </w:r>
          </w:p>
        </w:tc>
        <w:tc>
          <w:tcPr>
            <w:tcW w:w="2434"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Delivery of design deliverables </w:t>
            </w:r>
          </w:p>
        </w:tc>
        <w:tc>
          <w:tcPr>
            <w:tcW w:w="1419"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NTP+30</w:t>
            </w:r>
          </w:p>
        </w:tc>
        <w:tc>
          <w:tcPr>
            <w:tcW w:w="1982"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 xml:space="preserve">+ </w:t>
            </w:r>
            <w:r w:rsidRPr="0042658C">
              <w:rPr>
                <w:rFonts w:ascii="Arial" w:hAnsi="Arial" w:cs="Arial"/>
                <w:strike/>
                <w:sz w:val="21"/>
                <w:szCs w:val="21"/>
              </w:rPr>
              <w:t>130</w:t>
            </w:r>
            <w:r>
              <w:rPr>
                <w:rFonts w:ascii="Arial" w:hAnsi="Arial" w:cs="Arial"/>
                <w:sz w:val="21"/>
                <w:szCs w:val="21"/>
              </w:rPr>
              <w:t xml:space="preserve"> </w:t>
            </w:r>
            <w:r w:rsidRPr="0042658C">
              <w:rPr>
                <w:rFonts w:ascii="Arial" w:hAnsi="Arial" w:cs="Arial"/>
                <w:sz w:val="21"/>
                <w:szCs w:val="21"/>
                <w:highlight w:val="yellow"/>
              </w:rPr>
              <w:t>144</w:t>
            </w:r>
            <w:r>
              <w:rPr>
                <w:rFonts w:ascii="Arial" w:hAnsi="Arial" w:cs="Arial"/>
                <w:sz w:val="21"/>
                <w:szCs w:val="21"/>
              </w:rPr>
              <w:t xml:space="preserve"> days</w:t>
            </w:r>
          </w:p>
        </w:tc>
        <w:tc>
          <w:tcPr>
            <w:tcW w:w="861"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No</w:t>
            </w:r>
          </w:p>
        </w:tc>
      </w:tr>
      <w:tr w:rsidR="0042658C" w:rsidTr="0042658C">
        <w:tc>
          <w:tcPr>
            <w:tcW w:w="458"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Testing</w:t>
            </w:r>
          </w:p>
        </w:tc>
        <w:tc>
          <w:tcPr>
            <w:tcW w:w="2434"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First Article Testing, Environmental Testing, Functional Testing and Systems Integration Testing </w:t>
            </w:r>
          </w:p>
        </w:tc>
        <w:tc>
          <w:tcPr>
            <w:tcW w:w="1419"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Design Review  End  </w:t>
            </w:r>
          </w:p>
        </w:tc>
        <w:tc>
          <w:tcPr>
            <w:tcW w:w="1982"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+ 120 days</w:t>
            </w:r>
          </w:p>
        </w:tc>
        <w:tc>
          <w:tcPr>
            <w:tcW w:w="861"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Yes</w:t>
            </w:r>
          </w:p>
        </w:tc>
      </w:tr>
      <w:tr w:rsidR="0042658C" w:rsidTr="0042658C">
        <w:tc>
          <w:tcPr>
            <w:tcW w:w="458"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lastRenderedPageBreak/>
              <w:t xml:space="preserve">Deployment Planning </w:t>
            </w:r>
          </w:p>
        </w:tc>
        <w:tc>
          <w:tcPr>
            <w:tcW w:w="2434"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Delivery of deployment deliverables </w:t>
            </w:r>
          </w:p>
        </w:tc>
        <w:tc>
          <w:tcPr>
            <w:tcW w:w="1419"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Design Review End </w:t>
            </w:r>
          </w:p>
        </w:tc>
        <w:tc>
          <w:tcPr>
            <w:tcW w:w="1982"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 xml:space="preserve">+60 days </w:t>
            </w:r>
          </w:p>
        </w:tc>
        <w:tc>
          <w:tcPr>
            <w:tcW w:w="861"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No</w:t>
            </w:r>
          </w:p>
        </w:tc>
      </w:tr>
      <w:tr w:rsidR="0042658C" w:rsidTr="0042658C">
        <w:tc>
          <w:tcPr>
            <w:tcW w:w="458"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Training </w:t>
            </w:r>
          </w:p>
        </w:tc>
        <w:tc>
          <w:tcPr>
            <w:tcW w:w="2434"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Maintenance Training, Station Manager Train-the-Trainer, and Other User Training </w:t>
            </w:r>
          </w:p>
        </w:tc>
        <w:tc>
          <w:tcPr>
            <w:tcW w:w="1419"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60 days before Deployment</w:t>
            </w:r>
          </w:p>
        </w:tc>
        <w:tc>
          <w:tcPr>
            <w:tcW w:w="1982"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+60 days</w:t>
            </w:r>
          </w:p>
        </w:tc>
        <w:tc>
          <w:tcPr>
            <w:tcW w:w="861"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No</w:t>
            </w:r>
          </w:p>
        </w:tc>
      </w:tr>
      <w:tr w:rsidR="0042658C" w:rsidTr="0042658C">
        <w:tc>
          <w:tcPr>
            <w:tcW w:w="458"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Equipment Deployment </w:t>
            </w:r>
          </w:p>
        </w:tc>
        <w:tc>
          <w:tcPr>
            <w:tcW w:w="2434"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System wide deployment of faregates and Supporting Systems (Does not include deployment planning)</w:t>
            </w:r>
          </w:p>
        </w:tc>
        <w:tc>
          <w:tcPr>
            <w:tcW w:w="1419"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30 days after Testing End </w:t>
            </w:r>
          </w:p>
        </w:tc>
        <w:tc>
          <w:tcPr>
            <w:tcW w:w="1982"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+300 days</w:t>
            </w:r>
          </w:p>
        </w:tc>
        <w:tc>
          <w:tcPr>
            <w:tcW w:w="861"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Yes</w:t>
            </w:r>
          </w:p>
        </w:tc>
      </w:tr>
      <w:tr w:rsidR="0042658C" w:rsidTr="0042658C">
        <w:tc>
          <w:tcPr>
            <w:tcW w:w="458"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Warranty/Spare Parts Delivery </w:t>
            </w:r>
          </w:p>
        </w:tc>
        <w:tc>
          <w:tcPr>
            <w:tcW w:w="2434"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System wide Maintenance </w:t>
            </w:r>
          </w:p>
        </w:tc>
        <w:tc>
          <w:tcPr>
            <w:tcW w:w="1419"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Deployment End</w:t>
            </w:r>
          </w:p>
        </w:tc>
        <w:tc>
          <w:tcPr>
            <w:tcW w:w="1982"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+ 90 days</w:t>
            </w:r>
          </w:p>
        </w:tc>
        <w:tc>
          <w:tcPr>
            <w:tcW w:w="861"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No</w:t>
            </w:r>
          </w:p>
        </w:tc>
      </w:tr>
      <w:tr w:rsidR="0042658C" w:rsidTr="0042658C">
        <w:tc>
          <w:tcPr>
            <w:tcW w:w="458"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Extended Parts Maintenance </w:t>
            </w:r>
          </w:p>
        </w:tc>
        <w:tc>
          <w:tcPr>
            <w:tcW w:w="2434"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Parts repair and replacement</w:t>
            </w:r>
          </w:p>
        </w:tc>
        <w:tc>
          <w:tcPr>
            <w:tcW w:w="1419"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Warranty Maintenance</w:t>
            </w:r>
          </w:p>
        </w:tc>
        <w:tc>
          <w:tcPr>
            <w:tcW w:w="1982"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+365 days</w:t>
            </w:r>
          </w:p>
        </w:tc>
        <w:tc>
          <w:tcPr>
            <w:tcW w:w="861"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No</w:t>
            </w:r>
          </w:p>
        </w:tc>
      </w:tr>
      <w:tr w:rsidR="0042658C" w:rsidTr="0042658C">
        <w:tc>
          <w:tcPr>
            <w:tcW w:w="458"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Software Maintenance </w:t>
            </w:r>
          </w:p>
        </w:tc>
        <w:tc>
          <w:tcPr>
            <w:tcW w:w="2434"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Software Updates, Software Patches and Directed Software Changes </w:t>
            </w:r>
          </w:p>
        </w:tc>
        <w:tc>
          <w:tcPr>
            <w:tcW w:w="1419" w:type="dxa"/>
            <w:tcBorders>
              <w:top w:val="single" w:sz="4" w:space="0" w:color="000000"/>
              <w:left w:val="single" w:sz="4" w:space="0" w:color="000000"/>
              <w:bottom w:val="single" w:sz="4" w:space="0" w:color="000000"/>
              <w:right w:val="single" w:sz="4" w:space="0" w:color="000000"/>
            </w:tcBorders>
            <w:hideMark/>
          </w:tcPr>
          <w:p w:rsidR="0042658C" w:rsidRDefault="0042658C">
            <w:pPr>
              <w:rPr>
                <w:rFonts w:ascii="Arial" w:hAnsi="Arial" w:cs="Arial"/>
                <w:sz w:val="21"/>
                <w:szCs w:val="21"/>
              </w:rPr>
            </w:pPr>
            <w:r>
              <w:rPr>
                <w:rFonts w:ascii="Arial" w:hAnsi="Arial" w:cs="Arial"/>
                <w:sz w:val="21"/>
                <w:szCs w:val="21"/>
              </w:rPr>
              <w:t xml:space="preserve">Warranty End </w:t>
            </w:r>
          </w:p>
        </w:tc>
        <w:tc>
          <w:tcPr>
            <w:tcW w:w="1982"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+1095</w:t>
            </w:r>
          </w:p>
        </w:tc>
        <w:tc>
          <w:tcPr>
            <w:tcW w:w="861" w:type="dxa"/>
            <w:tcBorders>
              <w:top w:val="single" w:sz="4" w:space="0" w:color="000000"/>
              <w:left w:val="single" w:sz="4" w:space="0" w:color="000000"/>
              <w:bottom w:val="single" w:sz="4" w:space="0" w:color="000000"/>
              <w:right w:val="single" w:sz="4" w:space="0" w:color="000000"/>
            </w:tcBorders>
            <w:hideMark/>
          </w:tcPr>
          <w:p w:rsidR="0042658C" w:rsidRDefault="0042658C">
            <w:pPr>
              <w:jc w:val="center"/>
              <w:rPr>
                <w:rFonts w:ascii="Arial" w:hAnsi="Arial" w:cs="Arial"/>
                <w:sz w:val="21"/>
                <w:szCs w:val="21"/>
              </w:rPr>
            </w:pPr>
            <w:r>
              <w:rPr>
                <w:rFonts w:ascii="Arial" w:hAnsi="Arial" w:cs="Arial"/>
                <w:sz w:val="21"/>
                <w:szCs w:val="21"/>
              </w:rPr>
              <w:t>No</w:t>
            </w:r>
          </w:p>
        </w:tc>
      </w:tr>
    </w:tbl>
    <w:p w:rsidR="0042658C" w:rsidRDefault="0042658C" w:rsidP="0042658C">
      <w:pPr>
        <w:rPr>
          <w:rFonts w:ascii="Arial" w:hAnsi="Arial" w:cs="Arial"/>
          <w:sz w:val="21"/>
          <w:szCs w:val="21"/>
        </w:rPr>
      </w:pPr>
    </w:p>
    <w:p w:rsidR="00CF4B3F" w:rsidRPr="00CF4B3F" w:rsidRDefault="00CF4B3F" w:rsidP="00CF4B3F">
      <w:pPr>
        <w:pStyle w:val="ListParagraph"/>
        <w:numPr>
          <w:ilvl w:val="0"/>
          <w:numId w:val="6"/>
        </w:numPr>
        <w:rPr>
          <w:rFonts w:ascii="Arial" w:hAnsi="Arial" w:cs="Arial"/>
          <w:sz w:val="21"/>
          <w:szCs w:val="21"/>
        </w:rPr>
      </w:pPr>
      <w:r>
        <w:rPr>
          <w:rFonts w:ascii="Arial" w:hAnsi="Arial" w:cs="Arial"/>
          <w:sz w:val="21"/>
          <w:szCs w:val="21"/>
        </w:rPr>
        <w:t xml:space="preserve">Page 169, Part III, Section 2.29 Required CDRLS, Replace Table of CDRLs with </w:t>
      </w:r>
      <w:r w:rsidR="00D56A72">
        <w:rPr>
          <w:rFonts w:ascii="Arial" w:hAnsi="Arial" w:cs="Arial"/>
          <w:sz w:val="21"/>
          <w:szCs w:val="21"/>
        </w:rPr>
        <w:t xml:space="preserve">the edited </w:t>
      </w:r>
      <w:r>
        <w:rPr>
          <w:rFonts w:ascii="Arial" w:hAnsi="Arial" w:cs="Arial"/>
          <w:sz w:val="21"/>
          <w:szCs w:val="21"/>
        </w:rPr>
        <w:t xml:space="preserve">Table below. </w:t>
      </w:r>
    </w:p>
    <w:p w:rsidR="00837FA7" w:rsidRDefault="00837FA7" w:rsidP="00837FA7">
      <w:pPr>
        <w:pStyle w:val="BodyText"/>
      </w:pPr>
      <w:r>
        <w:t>The following CDRL items are referenced in this Section:</w:t>
      </w:r>
    </w:p>
    <w:p w:rsidR="00D56A72" w:rsidRDefault="00D56A72" w:rsidP="00837FA7">
      <w:pPr>
        <w:pStyle w:val="BodyText"/>
      </w:pPr>
    </w:p>
    <w:tbl>
      <w:tblPr>
        <w:tblW w:w="8302" w:type="dxa"/>
        <w:jc w:val="right"/>
        <w:tblLook w:val="04A0" w:firstRow="1" w:lastRow="0" w:firstColumn="1" w:lastColumn="0" w:noHBand="0" w:noVBand="1"/>
      </w:tblPr>
      <w:tblGrid>
        <w:gridCol w:w="1371"/>
        <w:gridCol w:w="2504"/>
        <w:gridCol w:w="1662"/>
        <w:gridCol w:w="1673"/>
        <w:gridCol w:w="1092"/>
      </w:tblGrid>
      <w:tr w:rsidR="00837FA7" w:rsidTr="00837FA7">
        <w:trPr>
          <w:cantSplit/>
          <w:trHeight w:val="300"/>
          <w:tblHeader/>
          <w:jc w:val="right"/>
        </w:trPr>
        <w:tc>
          <w:tcPr>
            <w:tcW w:w="13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37FA7" w:rsidRDefault="00837FA7">
            <w:pPr>
              <w:pStyle w:val="TableHeader"/>
            </w:pPr>
            <w:r>
              <w:t>CDRL No.</w:t>
            </w:r>
          </w:p>
        </w:tc>
        <w:tc>
          <w:tcPr>
            <w:tcW w:w="25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37FA7" w:rsidRDefault="00837FA7">
            <w:pPr>
              <w:pStyle w:val="TableHeader"/>
            </w:pPr>
            <w:r>
              <w:t>Description</w:t>
            </w:r>
          </w:p>
        </w:tc>
        <w:tc>
          <w:tcPr>
            <w:tcW w:w="16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37FA7" w:rsidRDefault="00837FA7">
            <w:pPr>
              <w:pStyle w:val="TableHeader"/>
            </w:pPr>
            <w:r>
              <w:t>Section</w:t>
            </w:r>
          </w:p>
        </w:tc>
        <w:tc>
          <w:tcPr>
            <w:tcW w:w="16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37FA7" w:rsidRDefault="00837FA7">
            <w:pPr>
              <w:pStyle w:val="TableHeader"/>
            </w:pPr>
            <w:r>
              <w:t xml:space="preserve"> Due</w:t>
            </w:r>
          </w:p>
        </w:tc>
        <w:tc>
          <w:tcPr>
            <w:tcW w:w="1092" w:type="dxa"/>
            <w:tcBorders>
              <w:top w:val="single" w:sz="4" w:space="0" w:color="auto"/>
              <w:left w:val="nil"/>
              <w:bottom w:val="single" w:sz="4" w:space="0" w:color="auto"/>
              <w:right w:val="single" w:sz="4" w:space="0" w:color="auto"/>
            </w:tcBorders>
            <w:shd w:val="clear" w:color="auto" w:fill="BFBFBF"/>
            <w:vAlign w:val="center"/>
            <w:hideMark/>
          </w:tcPr>
          <w:p w:rsidR="00837FA7" w:rsidRDefault="00837FA7">
            <w:pPr>
              <w:pStyle w:val="TableHeader"/>
            </w:pPr>
            <w:r>
              <w:t>Approval Required</w:t>
            </w:r>
          </w:p>
        </w:tc>
      </w:tr>
      <w:tr w:rsidR="00837FA7" w:rsidTr="00837FA7">
        <w:trPr>
          <w:cantSplit/>
          <w:trHeight w:val="300"/>
          <w:jc w:val="right"/>
        </w:trPr>
        <w:tc>
          <w:tcPr>
            <w:tcW w:w="1371"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CDRL 2-</w:t>
            </w:r>
            <w:r>
              <w:rPr>
                <w:lang w:val="en-US"/>
              </w:rPr>
              <w:t>1</w:t>
            </w:r>
          </w:p>
        </w:tc>
        <w:tc>
          <w:tcPr>
            <w:tcW w:w="2504" w:type="dxa"/>
            <w:tcBorders>
              <w:top w:val="nil"/>
              <w:left w:val="single" w:sz="4" w:space="0" w:color="auto"/>
              <w:bottom w:val="single" w:sz="4" w:space="0" w:color="auto"/>
              <w:right w:val="single" w:sz="4" w:space="0" w:color="auto"/>
            </w:tcBorders>
            <w:vAlign w:val="center"/>
            <w:hideMark/>
          </w:tcPr>
          <w:p w:rsidR="00837FA7" w:rsidRDefault="00837FA7">
            <w:pPr>
              <w:pStyle w:val="TableLeft"/>
              <w:rPr>
                <w:color w:val="000000"/>
              </w:rPr>
            </w:pPr>
            <w:r>
              <w:t>PCI-DSS Compliance Assessment</w:t>
            </w:r>
          </w:p>
        </w:tc>
        <w:tc>
          <w:tcPr>
            <w:tcW w:w="1662"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rPr>
                <w:lang w:val="en-US"/>
              </w:rPr>
              <w:t>2.3</w:t>
            </w:r>
          </w:p>
        </w:tc>
        <w:tc>
          <w:tcPr>
            <w:tcW w:w="1673" w:type="dxa"/>
            <w:tcBorders>
              <w:top w:val="nil"/>
              <w:left w:val="single" w:sz="4" w:space="0" w:color="auto"/>
              <w:bottom w:val="single" w:sz="4" w:space="0" w:color="auto"/>
              <w:right w:val="single" w:sz="4" w:space="0" w:color="auto"/>
            </w:tcBorders>
            <w:vAlign w:val="center"/>
            <w:hideMark/>
          </w:tcPr>
          <w:p w:rsidR="00837FA7" w:rsidRDefault="00837FA7">
            <w:pPr>
              <w:pStyle w:val="TableBody"/>
            </w:pPr>
            <w:r>
              <w:t>PDR, FDR</w:t>
            </w:r>
          </w:p>
        </w:tc>
        <w:tc>
          <w:tcPr>
            <w:tcW w:w="1092" w:type="dxa"/>
            <w:tcBorders>
              <w:top w:val="nil"/>
              <w:left w:val="nil"/>
              <w:bottom w:val="single" w:sz="4" w:space="0" w:color="auto"/>
              <w:right w:val="single" w:sz="4" w:space="0" w:color="auto"/>
            </w:tcBorders>
            <w:vAlign w:val="center"/>
            <w:hideMark/>
          </w:tcPr>
          <w:p w:rsidR="00837FA7" w:rsidRDefault="00837FA7">
            <w:pPr>
              <w:pStyle w:val="TableBody"/>
            </w:pPr>
            <w:r>
              <w:t>No</w:t>
            </w:r>
          </w:p>
        </w:tc>
      </w:tr>
      <w:tr w:rsidR="00837FA7" w:rsidTr="00837FA7">
        <w:trPr>
          <w:cantSplit/>
          <w:trHeight w:val="300"/>
          <w:jc w:val="right"/>
        </w:trPr>
        <w:tc>
          <w:tcPr>
            <w:tcW w:w="1371"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CDRL 2-</w:t>
            </w:r>
            <w:r>
              <w:rPr>
                <w:lang w:val="en-US"/>
              </w:rPr>
              <w:t>2</w:t>
            </w:r>
          </w:p>
        </w:tc>
        <w:tc>
          <w:tcPr>
            <w:tcW w:w="2504" w:type="dxa"/>
            <w:tcBorders>
              <w:top w:val="nil"/>
              <w:left w:val="single" w:sz="4" w:space="0" w:color="auto"/>
              <w:bottom w:val="single" w:sz="4" w:space="0" w:color="auto"/>
              <w:right w:val="single" w:sz="4" w:space="0" w:color="auto"/>
            </w:tcBorders>
            <w:vAlign w:val="center"/>
            <w:hideMark/>
          </w:tcPr>
          <w:p w:rsidR="00837FA7" w:rsidRDefault="00837FA7">
            <w:pPr>
              <w:pStyle w:val="TableLeft"/>
            </w:pPr>
            <w:r>
              <w:t>ADA Certifiable Items Assessment</w:t>
            </w:r>
          </w:p>
        </w:tc>
        <w:tc>
          <w:tcPr>
            <w:tcW w:w="1662"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rPr>
                <w:lang w:val="en-US"/>
              </w:rPr>
              <w:t>2.4.1</w:t>
            </w:r>
          </w:p>
        </w:tc>
        <w:tc>
          <w:tcPr>
            <w:tcW w:w="1673"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rPr>
                <w:lang w:val="en-US"/>
              </w:rPr>
              <w:t>FDR</w:t>
            </w:r>
          </w:p>
        </w:tc>
        <w:tc>
          <w:tcPr>
            <w:tcW w:w="1092" w:type="dxa"/>
            <w:tcBorders>
              <w:top w:val="nil"/>
              <w:left w:val="nil"/>
              <w:bottom w:val="single" w:sz="4" w:space="0" w:color="auto"/>
              <w:right w:val="single" w:sz="4" w:space="0" w:color="auto"/>
            </w:tcBorders>
            <w:vAlign w:val="center"/>
            <w:hideMark/>
          </w:tcPr>
          <w:p w:rsidR="00837FA7" w:rsidRDefault="00837FA7">
            <w:pPr>
              <w:pStyle w:val="TableBody"/>
              <w:rPr>
                <w:lang w:val="en-US"/>
              </w:rPr>
            </w:pPr>
            <w:r>
              <w:rPr>
                <w:lang w:val="en-US"/>
              </w:rPr>
              <w:t>Yes</w:t>
            </w:r>
          </w:p>
        </w:tc>
      </w:tr>
      <w:tr w:rsidR="00837FA7" w:rsidTr="00837FA7">
        <w:trPr>
          <w:cantSplit/>
          <w:trHeight w:val="300"/>
          <w:jc w:val="right"/>
        </w:trPr>
        <w:tc>
          <w:tcPr>
            <w:tcW w:w="1371" w:type="dxa"/>
            <w:tcBorders>
              <w:top w:val="nil"/>
              <w:left w:val="single" w:sz="4" w:space="0" w:color="auto"/>
              <w:bottom w:val="single" w:sz="4" w:space="0" w:color="auto"/>
              <w:right w:val="single" w:sz="4" w:space="0" w:color="auto"/>
            </w:tcBorders>
            <w:vAlign w:val="center"/>
            <w:hideMark/>
          </w:tcPr>
          <w:p w:rsidR="00837FA7" w:rsidRDefault="00837FA7">
            <w:pPr>
              <w:pStyle w:val="TableBody"/>
            </w:pPr>
            <w:r>
              <w:t>CDRL 2-</w:t>
            </w:r>
            <w:r>
              <w:rPr>
                <w:lang w:val="en-US"/>
              </w:rPr>
              <w:t>3</w:t>
            </w:r>
          </w:p>
        </w:tc>
        <w:tc>
          <w:tcPr>
            <w:tcW w:w="2504" w:type="dxa"/>
            <w:tcBorders>
              <w:top w:val="nil"/>
              <w:left w:val="single" w:sz="4" w:space="0" w:color="auto"/>
              <w:bottom w:val="single" w:sz="4" w:space="0" w:color="auto"/>
              <w:right w:val="single" w:sz="4" w:space="0" w:color="auto"/>
            </w:tcBorders>
            <w:vAlign w:val="center"/>
            <w:hideMark/>
          </w:tcPr>
          <w:p w:rsidR="00837FA7" w:rsidRDefault="00837FA7">
            <w:pPr>
              <w:pStyle w:val="TableLeft"/>
            </w:pPr>
            <w:r>
              <w:t>Title VI Compliance Assessment</w:t>
            </w:r>
          </w:p>
        </w:tc>
        <w:tc>
          <w:tcPr>
            <w:tcW w:w="1662" w:type="dxa"/>
            <w:tcBorders>
              <w:top w:val="nil"/>
              <w:left w:val="single" w:sz="4" w:space="0" w:color="auto"/>
              <w:bottom w:val="single" w:sz="4" w:space="0" w:color="auto"/>
              <w:right w:val="single" w:sz="4" w:space="0" w:color="auto"/>
            </w:tcBorders>
            <w:vAlign w:val="center"/>
            <w:hideMark/>
          </w:tcPr>
          <w:p w:rsidR="00837FA7" w:rsidRDefault="00837FA7">
            <w:pPr>
              <w:pStyle w:val="TableBody"/>
            </w:pPr>
            <w:r>
              <w:rPr>
                <w:lang w:val="en-US"/>
              </w:rPr>
              <w:t>2.4.2</w:t>
            </w:r>
          </w:p>
        </w:tc>
        <w:tc>
          <w:tcPr>
            <w:tcW w:w="1673"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rPr>
                <w:lang w:val="en-US"/>
              </w:rPr>
              <w:t>FDR</w:t>
            </w:r>
          </w:p>
        </w:tc>
        <w:tc>
          <w:tcPr>
            <w:tcW w:w="1092" w:type="dxa"/>
            <w:tcBorders>
              <w:top w:val="nil"/>
              <w:left w:val="nil"/>
              <w:bottom w:val="single" w:sz="4" w:space="0" w:color="auto"/>
              <w:right w:val="single" w:sz="4" w:space="0" w:color="auto"/>
            </w:tcBorders>
            <w:vAlign w:val="center"/>
            <w:hideMark/>
          </w:tcPr>
          <w:p w:rsidR="00837FA7" w:rsidRDefault="00837FA7">
            <w:pPr>
              <w:pStyle w:val="TableBody"/>
            </w:pPr>
            <w:r>
              <w:rPr>
                <w:lang w:val="en-US"/>
              </w:rPr>
              <w:t>Yes</w:t>
            </w:r>
          </w:p>
        </w:tc>
      </w:tr>
      <w:tr w:rsidR="00837FA7" w:rsidTr="00837FA7">
        <w:trPr>
          <w:cantSplit/>
          <w:trHeight w:val="300"/>
          <w:jc w:val="right"/>
        </w:trPr>
        <w:tc>
          <w:tcPr>
            <w:tcW w:w="1371"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CDRL 2-</w:t>
            </w:r>
            <w:r>
              <w:rPr>
                <w:lang w:val="en-US"/>
              </w:rPr>
              <w:t>4</w:t>
            </w:r>
          </w:p>
        </w:tc>
        <w:tc>
          <w:tcPr>
            <w:tcW w:w="2504" w:type="dxa"/>
            <w:tcBorders>
              <w:top w:val="nil"/>
              <w:left w:val="single" w:sz="4" w:space="0" w:color="auto"/>
              <w:bottom w:val="single" w:sz="4" w:space="0" w:color="auto"/>
              <w:right w:val="single" w:sz="4" w:space="0" w:color="auto"/>
            </w:tcBorders>
            <w:vAlign w:val="center"/>
            <w:hideMark/>
          </w:tcPr>
          <w:p w:rsidR="00837FA7" w:rsidRDefault="00837FA7">
            <w:pPr>
              <w:pStyle w:val="TableLeft"/>
            </w:pPr>
            <w:r>
              <w:t>Conceptual Design Package</w:t>
            </w:r>
          </w:p>
        </w:tc>
        <w:tc>
          <w:tcPr>
            <w:tcW w:w="1662"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rPr>
                <w:lang w:val="en-US"/>
              </w:rPr>
              <w:t>2.5.1</w:t>
            </w:r>
          </w:p>
        </w:tc>
        <w:tc>
          <w:tcPr>
            <w:tcW w:w="1673"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rPr>
                <w:lang w:val="en-US"/>
              </w:rPr>
              <w:t>NTP + 60</w:t>
            </w:r>
          </w:p>
        </w:tc>
        <w:tc>
          <w:tcPr>
            <w:tcW w:w="1092" w:type="dxa"/>
            <w:tcBorders>
              <w:top w:val="nil"/>
              <w:left w:val="nil"/>
              <w:bottom w:val="single" w:sz="4" w:space="0" w:color="auto"/>
              <w:right w:val="single" w:sz="4" w:space="0" w:color="auto"/>
            </w:tcBorders>
            <w:vAlign w:val="center"/>
            <w:hideMark/>
          </w:tcPr>
          <w:p w:rsidR="00837FA7" w:rsidRDefault="00837FA7">
            <w:pPr>
              <w:pStyle w:val="TableBody"/>
            </w:pPr>
            <w:r>
              <w:t>Yes</w:t>
            </w:r>
          </w:p>
        </w:tc>
      </w:tr>
      <w:tr w:rsidR="00837FA7" w:rsidTr="00837FA7">
        <w:trPr>
          <w:cantSplit/>
          <w:trHeight w:val="300"/>
          <w:jc w:val="right"/>
        </w:trPr>
        <w:tc>
          <w:tcPr>
            <w:tcW w:w="1371"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CDRL 2-</w:t>
            </w:r>
            <w:r>
              <w:rPr>
                <w:lang w:val="en-US"/>
              </w:rPr>
              <w:t>5</w:t>
            </w:r>
          </w:p>
        </w:tc>
        <w:tc>
          <w:tcPr>
            <w:tcW w:w="2504" w:type="dxa"/>
            <w:tcBorders>
              <w:top w:val="nil"/>
              <w:left w:val="single" w:sz="4" w:space="0" w:color="auto"/>
              <w:bottom w:val="single" w:sz="4" w:space="0" w:color="auto"/>
              <w:right w:val="single" w:sz="4" w:space="0" w:color="auto"/>
            </w:tcBorders>
            <w:vAlign w:val="center"/>
            <w:hideMark/>
          </w:tcPr>
          <w:p w:rsidR="00837FA7" w:rsidRDefault="00837FA7">
            <w:pPr>
              <w:pStyle w:val="TableLeft"/>
            </w:pPr>
            <w:r>
              <w:t>Preliminary Design Package</w:t>
            </w:r>
          </w:p>
        </w:tc>
        <w:tc>
          <w:tcPr>
            <w:tcW w:w="1662"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2.</w:t>
            </w:r>
            <w:r>
              <w:rPr>
                <w:lang w:val="en-US"/>
              </w:rPr>
              <w:t>5.2</w:t>
            </w:r>
          </w:p>
        </w:tc>
        <w:tc>
          <w:tcPr>
            <w:tcW w:w="1673" w:type="dxa"/>
            <w:tcBorders>
              <w:top w:val="nil"/>
              <w:left w:val="single" w:sz="4" w:space="0" w:color="auto"/>
              <w:bottom w:val="single" w:sz="4" w:space="0" w:color="auto"/>
              <w:right w:val="single" w:sz="4" w:space="0" w:color="auto"/>
            </w:tcBorders>
            <w:vAlign w:val="center"/>
            <w:hideMark/>
          </w:tcPr>
          <w:p w:rsidR="00837FA7" w:rsidRPr="00837FA7" w:rsidRDefault="00837FA7" w:rsidP="00CF4B3F">
            <w:pPr>
              <w:pStyle w:val="TableBody"/>
            </w:pPr>
            <w:r>
              <w:rPr>
                <w:lang w:val="en-US"/>
              </w:rPr>
              <w:t xml:space="preserve">NTP + </w:t>
            </w:r>
            <w:r w:rsidRPr="00837FA7">
              <w:rPr>
                <w:strike/>
                <w:lang w:val="en-US"/>
              </w:rPr>
              <w:t>100</w:t>
            </w:r>
            <w:r>
              <w:rPr>
                <w:strike/>
                <w:lang w:val="en-US"/>
              </w:rPr>
              <w:t xml:space="preserve"> </w:t>
            </w:r>
            <w:r w:rsidRPr="00837FA7">
              <w:rPr>
                <w:highlight w:val="yellow"/>
                <w:lang w:val="en-US"/>
              </w:rPr>
              <w:t>1</w:t>
            </w:r>
            <w:r w:rsidR="00CF4B3F">
              <w:rPr>
                <w:highlight w:val="yellow"/>
                <w:lang w:val="en-US"/>
              </w:rPr>
              <w:t>1</w:t>
            </w:r>
            <w:r w:rsidRPr="00837FA7">
              <w:rPr>
                <w:highlight w:val="yellow"/>
                <w:lang w:val="en-US"/>
              </w:rPr>
              <w:t>4</w:t>
            </w:r>
          </w:p>
        </w:tc>
        <w:tc>
          <w:tcPr>
            <w:tcW w:w="1092" w:type="dxa"/>
            <w:tcBorders>
              <w:top w:val="nil"/>
              <w:left w:val="nil"/>
              <w:bottom w:val="single" w:sz="4" w:space="0" w:color="auto"/>
              <w:right w:val="single" w:sz="4" w:space="0" w:color="auto"/>
            </w:tcBorders>
            <w:vAlign w:val="center"/>
            <w:hideMark/>
          </w:tcPr>
          <w:p w:rsidR="00837FA7" w:rsidRDefault="00837FA7">
            <w:pPr>
              <w:pStyle w:val="TableBody"/>
            </w:pPr>
            <w:r>
              <w:t>Yes</w:t>
            </w:r>
          </w:p>
        </w:tc>
      </w:tr>
      <w:tr w:rsidR="00837FA7" w:rsidTr="00837FA7">
        <w:trPr>
          <w:cantSplit/>
          <w:trHeight w:val="300"/>
          <w:jc w:val="right"/>
        </w:trPr>
        <w:tc>
          <w:tcPr>
            <w:tcW w:w="1371"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CDRL 2-</w:t>
            </w:r>
            <w:r>
              <w:rPr>
                <w:lang w:val="en-US"/>
              </w:rPr>
              <w:t>6</w:t>
            </w:r>
          </w:p>
        </w:tc>
        <w:tc>
          <w:tcPr>
            <w:tcW w:w="2504" w:type="dxa"/>
            <w:tcBorders>
              <w:top w:val="nil"/>
              <w:left w:val="single" w:sz="4" w:space="0" w:color="auto"/>
              <w:bottom w:val="single" w:sz="4" w:space="0" w:color="auto"/>
              <w:right w:val="single" w:sz="4" w:space="0" w:color="auto"/>
            </w:tcBorders>
            <w:vAlign w:val="center"/>
            <w:hideMark/>
          </w:tcPr>
          <w:p w:rsidR="00837FA7" w:rsidRDefault="00837FA7">
            <w:pPr>
              <w:pStyle w:val="TableLeft"/>
            </w:pPr>
            <w:r>
              <w:t>Final Design Package</w:t>
            </w:r>
          </w:p>
        </w:tc>
        <w:tc>
          <w:tcPr>
            <w:tcW w:w="1662"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rPr>
                <w:lang w:val="en-US"/>
              </w:rPr>
              <w:t>2.5.3</w:t>
            </w:r>
          </w:p>
        </w:tc>
        <w:tc>
          <w:tcPr>
            <w:tcW w:w="1673" w:type="dxa"/>
            <w:tcBorders>
              <w:top w:val="nil"/>
              <w:left w:val="single" w:sz="4" w:space="0" w:color="auto"/>
              <w:bottom w:val="single" w:sz="4" w:space="0" w:color="auto"/>
              <w:right w:val="single" w:sz="4" w:space="0" w:color="auto"/>
            </w:tcBorders>
            <w:vAlign w:val="center"/>
            <w:hideMark/>
          </w:tcPr>
          <w:p w:rsidR="00837FA7" w:rsidRDefault="00837FA7" w:rsidP="00837FA7">
            <w:pPr>
              <w:pStyle w:val="TableBody"/>
            </w:pPr>
            <w:r>
              <w:rPr>
                <w:lang w:val="en-US"/>
              </w:rPr>
              <w:t xml:space="preserve">NTP + </w:t>
            </w:r>
            <w:r w:rsidRPr="00837FA7">
              <w:rPr>
                <w:strike/>
                <w:lang w:val="en-US"/>
              </w:rPr>
              <w:t>140</w:t>
            </w:r>
            <w:r>
              <w:rPr>
                <w:lang w:val="en-US"/>
              </w:rPr>
              <w:t xml:space="preserve"> </w:t>
            </w:r>
            <w:r w:rsidRPr="00837FA7">
              <w:rPr>
                <w:highlight w:val="yellow"/>
                <w:lang w:val="en-US"/>
              </w:rPr>
              <w:t>1</w:t>
            </w:r>
            <w:r>
              <w:rPr>
                <w:highlight w:val="yellow"/>
                <w:lang w:val="en-US"/>
              </w:rPr>
              <w:t>5</w:t>
            </w:r>
            <w:r w:rsidRPr="00837FA7">
              <w:rPr>
                <w:highlight w:val="yellow"/>
                <w:lang w:val="en-US"/>
              </w:rPr>
              <w:t>4</w:t>
            </w:r>
          </w:p>
        </w:tc>
        <w:tc>
          <w:tcPr>
            <w:tcW w:w="1092" w:type="dxa"/>
            <w:tcBorders>
              <w:top w:val="nil"/>
              <w:left w:val="nil"/>
              <w:bottom w:val="single" w:sz="4" w:space="0" w:color="auto"/>
              <w:right w:val="single" w:sz="4" w:space="0" w:color="auto"/>
            </w:tcBorders>
            <w:vAlign w:val="center"/>
            <w:hideMark/>
          </w:tcPr>
          <w:p w:rsidR="00837FA7" w:rsidRDefault="00837FA7">
            <w:pPr>
              <w:pStyle w:val="TableBody"/>
            </w:pPr>
            <w:r>
              <w:t>Yes</w:t>
            </w:r>
          </w:p>
        </w:tc>
      </w:tr>
      <w:tr w:rsidR="00837FA7" w:rsidTr="00837FA7">
        <w:trPr>
          <w:cantSplit/>
          <w:trHeight w:val="300"/>
          <w:jc w:val="right"/>
        </w:trPr>
        <w:tc>
          <w:tcPr>
            <w:tcW w:w="1371"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CDRL 2-</w:t>
            </w:r>
            <w:r>
              <w:rPr>
                <w:lang w:val="en-US"/>
              </w:rPr>
              <w:t>7</w:t>
            </w:r>
          </w:p>
        </w:tc>
        <w:tc>
          <w:tcPr>
            <w:tcW w:w="2504" w:type="dxa"/>
            <w:tcBorders>
              <w:top w:val="nil"/>
              <w:left w:val="single" w:sz="4" w:space="0" w:color="auto"/>
              <w:bottom w:val="single" w:sz="4" w:space="0" w:color="auto"/>
              <w:right w:val="single" w:sz="4" w:space="0" w:color="auto"/>
            </w:tcBorders>
            <w:vAlign w:val="center"/>
            <w:hideMark/>
          </w:tcPr>
          <w:p w:rsidR="00837FA7" w:rsidRDefault="00837FA7">
            <w:pPr>
              <w:pStyle w:val="TableLeft"/>
            </w:pPr>
            <w:r>
              <w:t xml:space="preserve">System Security Plan </w:t>
            </w:r>
          </w:p>
        </w:tc>
        <w:tc>
          <w:tcPr>
            <w:tcW w:w="1662"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rPr>
                <w:lang w:val="en-US"/>
              </w:rPr>
              <w:t>2.12</w:t>
            </w:r>
          </w:p>
        </w:tc>
        <w:tc>
          <w:tcPr>
            <w:tcW w:w="1673" w:type="dxa"/>
            <w:tcBorders>
              <w:top w:val="nil"/>
              <w:left w:val="single" w:sz="4" w:space="0" w:color="auto"/>
              <w:bottom w:val="single" w:sz="4" w:space="0" w:color="auto"/>
              <w:right w:val="single" w:sz="4" w:space="0" w:color="auto"/>
            </w:tcBorders>
            <w:vAlign w:val="center"/>
            <w:hideMark/>
          </w:tcPr>
          <w:p w:rsidR="00837FA7" w:rsidRDefault="00837FA7" w:rsidP="00837FA7">
            <w:pPr>
              <w:pStyle w:val="TableBody"/>
            </w:pPr>
            <w:r>
              <w:rPr>
                <w:lang w:val="en-US"/>
              </w:rPr>
              <w:t xml:space="preserve">NTP + </w:t>
            </w:r>
            <w:r w:rsidRPr="00837FA7">
              <w:rPr>
                <w:strike/>
                <w:lang w:val="en-US"/>
              </w:rPr>
              <w:t>140</w:t>
            </w:r>
            <w:r>
              <w:rPr>
                <w:lang w:val="en-US"/>
              </w:rPr>
              <w:t xml:space="preserve"> </w:t>
            </w:r>
            <w:r w:rsidRPr="00837FA7">
              <w:rPr>
                <w:highlight w:val="yellow"/>
                <w:lang w:val="en-US"/>
              </w:rPr>
              <w:t>1</w:t>
            </w:r>
            <w:r>
              <w:rPr>
                <w:highlight w:val="yellow"/>
                <w:lang w:val="en-US"/>
              </w:rPr>
              <w:t>5</w:t>
            </w:r>
            <w:r w:rsidRPr="00837FA7">
              <w:rPr>
                <w:highlight w:val="yellow"/>
                <w:lang w:val="en-US"/>
              </w:rPr>
              <w:t>4</w:t>
            </w:r>
          </w:p>
        </w:tc>
        <w:tc>
          <w:tcPr>
            <w:tcW w:w="1092" w:type="dxa"/>
            <w:tcBorders>
              <w:top w:val="nil"/>
              <w:left w:val="nil"/>
              <w:bottom w:val="single" w:sz="4" w:space="0" w:color="auto"/>
              <w:right w:val="single" w:sz="4" w:space="0" w:color="auto"/>
            </w:tcBorders>
            <w:vAlign w:val="center"/>
            <w:hideMark/>
          </w:tcPr>
          <w:p w:rsidR="00837FA7" w:rsidRDefault="00837FA7">
            <w:pPr>
              <w:pStyle w:val="TableBody"/>
            </w:pPr>
            <w:r>
              <w:t>No</w:t>
            </w:r>
          </w:p>
        </w:tc>
      </w:tr>
      <w:tr w:rsidR="00837FA7" w:rsidTr="00837FA7">
        <w:trPr>
          <w:cantSplit/>
          <w:trHeight w:val="300"/>
          <w:jc w:val="right"/>
        </w:trPr>
        <w:tc>
          <w:tcPr>
            <w:tcW w:w="1371"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CDRL 2-8</w:t>
            </w:r>
          </w:p>
        </w:tc>
        <w:tc>
          <w:tcPr>
            <w:tcW w:w="2504" w:type="dxa"/>
            <w:tcBorders>
              <w:top w:val="nil"/>
              <w:left w:val="single" w:sz="4" w:space="0" w:color="auto"/>
              <w:bottom w:val="single" w:sz="4" w:space="0" w:color="auto"/>
              <w:right w:val="single" w:sz="4" w:space="0" w:color="auto"/>
            </w:tcBorders>
            <w:vAlign w:val="center"/>
            <w:hideMark/>
          </w:tcPr>
          <w:p w:rsidR="00837FA7" w:rsidRDefault="00837FA7">
            <w:pPr>
              <w:pStyle w:val="TableLeft"/>
            </w:pPr>
            <w:r>
              <w:t xml:space="preserve">Software Configuration Control Plan </w:t>
            </w:r>
          </w:p>
        </w:tc>
        <w:tc>
          <w:tcPr>
            <w:tcW w:w="1662" w:type="dxa"/>
            <w:tcBorders>
              <w:top w:val="nil"/>
              <w:left w:val="single" w:sz="4" w:space="0" w:color="auto"/>
              <w:bottom w:val="single" w:sz="4" w:space="0" w:color="auto"/>
              <w:right w:val="single" w:sz="4" w:space="0" w:color="auto"/>
            </w:tcBorders>
            <w:vAlign w:val="center"/>
            <w:hideMark/>
          </w:tcPr>
          <w:p w:rsidR="00837FA7" w:rsidRDefault="00837FA7">
            <w:pPr>
              <w:pStyle w:val="TableBody"/>
            </w:pPr>
            <w:r>
              <w:t>2.</w:t>
            </w:r>
            <w:r>
              <w:rPr>
                <w:lang w:val="en-US"/>
              </w:rPr>
              <w:t>29.1.6</w:t>
            </w:r>
          </w:p>
        </w:tc>
        <w:tc>
          <w:tcPr>
            <w:tcW w:w="1673" w:type="dxa"/>
            <w:tcBorders>
              <w:top w:val="nil"/>
              <w:left w:val="single" w:sz="4" w:space="0" w:color="auto"/>
              <w:bottom w:val="single" w:sz="4" w:space="0" w:color="auto"/>
              <w:right w:val="single" w:sz="4" w:space="0" w:color="auto"/>
            </w:tcBorders>
            <w:vAlign w:val="center"/>
            <w:hideMark/>
          </w:tcPr>
          <w:p w:rsidR="00837FA7" w:rsidRDefault="00837FA7">
            <w:pPr>
              <w:pStyle w:val="TableBody"/>
            </w:pPr>
            <w:r>
              <w:t>FDR</w:t>
            </w:r>
          </w:p>
        </w:tc>
        <w:tc>
          <w:tcPr>
            <w:tcW w:w="1092" w:type="dxa"/>
            <w:tcBorders>
              <w:top w:val="nil"/>
              <w:left w:val="nil"/>
              <w:bottom w:val="single" w:sz="4" w:space="0" w:color="auto"/>
              <w:right w:val="single" w:sz="4" w:space="0" w:color="auto"/>
            </w:tcBorders>
            <w:vAlign w:val="center"/>
            <w:hideMark/>
          </w:tcPr>
          <w:p w:rsidR="00837FA7" w:rsidRDefault="00837FA7">
            <w:pPr>
              <w:pStyle w:val="TableBody"/>
            </w:pPr>
            <w:r>
              <w:t>Yes</w:t>
            </w:r>
          </w:p>
        </w:tc>
      </w:tr>
      <w:tr w:rsidR="00837FA7" w:rsidTr="00837FA7">
        <w:trPr>
          <w:cantSplit/>
          <w:trHeight w:val="300"/>
          <w:jc w:val="right"/>
        </w:trPr>
        <w:tc>
          <w:tcPr>
            <w:tcW w:w="1371"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CDRL 2-9</w:t>
            </w:r>
          </w:p>
        </w:tc>
        <w:tc>
          <w:tcPr>
            <w:tcW w:w="2504" w:type="dxa"/>
            <w:tcBorders>
              <w:top w:val="nil"/>
              <w:left w:val="single" w:sz="4" w:space="0" w:color="auto"/>
              <w:bottom w:val="single" w:sz="4" w:space="0" w:color="auto"/>
              <w:right w:val="single" w:sz="4" w:space="0" w:color="auto"/>
            </w:tcBorders>
            <w:vAlign w:val="center"/>
            <w:hideMark/>
          </w:tcPr>
          <w:p w:rsidR="00837FA7" w:rsidRDefault="00837FA7">
            <w:pPr>
              <w:pStyle w:val="TableLeft"/>
            </w:pPr>
            <w:r>
              <w:t xml:space="preserve">Software Documentation </w:t>
            </w:r>
          </w:p>
        </w:tc>
        <w:tc>
          <w:tcPr>
            <w:tcW w:w="1662" w:type="dxa"/>
            <w:tcBorders>
              <w:top w:val="nil"/>
              <w:left w:val="single" w:sz="4" w:space="0" w:color="auto"/>
              <w:bottom w:val="single" w:sz="4" w:space="0" w:color="auto"/>
              <w:right w:val="single" w:sz="4" w:space="0" w:color="auto"/>
            </w:tcBorders>
            <w:vAlign w:val="center"/>
            <w:hideMark/>
          </w:tcPr>
          <w:p w:rsidR="00837FA7" w:rsidRDefault="00837FA7">
            <w:pPr>
              <w:pStyle w:val="TableBody"/>
            </w:pPr>
            <w:r>
              <w:t>2.</w:t>
            </w:r>
            <w:r>
              <w:rPr>
                <w:lang w:val="en-US"/>
              </w:rPr>
              <w:t>29.2</w:t>
            </w:r>
          </w:p>
        </w:tc>
        <w:tc>
          <w:tcPr>
            <w:tcW w:w="1673"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rPr>
                <w:lang w:val="en-US"/>
              </w:rPr>
              <w:t>FDR</w:t>
            </w:r>
          </w:p>
        </w:tc>
        <w:tc>
          <w:tcPr>
            <w:tcW w:w="1092" w:type="dxa"/>
            <w:tcBorders>
              <w:top w:val="nil"/>
              <w:left w:val="nil"/>
              <w:bottom w:val="single" w:sz="4" w:space="0" w:color="auto"/>
              <w:right w:val="single" w:sz="4" w:space="0" w:color="auto"/>
            </w:tcBorders>
            <w:vAlign w:val="center"/>
            <w:hideMark/>
          </w:tcPr>
          <w:p w:rsidR="00837FA7" w:rsidRDefault="00837FA7">
            <w:pPr>
              <w:pStyle w:val="TableBody"/>
            </w:pPr>
            <w:r>
              <w:t>Yes</w:t>
            </w:r>
          </w:p>
        </w:tc>
      </w:tr>
      <w:tr w:rsidR="00837FA7" w:rsidTr="00837FA7">
        <w:trPr>
          <w:cantSplit/>
          <w:trHeight w:val="300"/>
          <w:jc w:val="right"/>
        </w:trPr>
        <w:tc>
          <w:tcPr>
            <w:tcW w:w="1371"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CDRL 2-</w:t>
            </w:r>
            <w:r>
              <w:rPr>
                <w:lang w:val="en-US"/>
              </w:rPr>
              <w:t>10</w:t>
            </w:r>
          </w:p>
        </w:tc>
        <w:tc>
          <w:tcPr>
            <w:tcW w:w="2504" w:type="dxa"/>
            <w:tcBorders>
              <w:top w:val="nil"/>
              <w:left w:val="single" w:sz="4" w:space="0" w:color="auto"/>
              <w:bottom w:val="single" w:sz="4" w:space="0" w:color="auto"/>
              <w:right w:val="single" w:sz="4" w:space="0" w:color="auto"/>
            </w:tcBorders>
            <w:vAlign w:val="center"/>
            <w:hideMark/>
          </w:tcPr>
          <w:p w:rsidR="00837FA7" w:rsidRDefault="00837FA7">
            <w:pPr>
              <w:pStyle w:val="TableLeft"/>
            </w:pPr>
            <w:r>
              <w:t>Processes for downloading software updates</w:t>
            </w:r>
          </w:p>
        </w:tc>
        <w:tc>
          <w:tcPr>
            <w:tcW w:w="1662" w:type="dxa"/>
            <w:tcBorders>
              <w:top w:val="nil"/>
              <w:left w:val="single" w:sz="4" w:space="0" w:color="auto"/>
              <w:bottom w:val="single" w:sz="4" w:space="0" w:color="auto"/>
              <w:right w:val="single" w:sz="4" w:space="0" w:color="auto"/>
            </w:tcBorders>
            <w:vAlign w:val="center"/>
            <w:hideMark/>
          </w:tcPr>
          <w:p w:rsidR="00837FA7" w:rsidRDefault="00837FA7">
            <w:pPr>
              <w:pStyle w:val="TableBody"/>
            </w:pPr>
            <w:r>
              <w:t>2.3.20</w:t>
            </w:r>
          </w:p>
        </w:tc>
        <w:tc>
          <w:tcPr>
            <w:tcW w:w="1673" w:type="dxa"/>
            <w:tcBorders>
              <w:top w:val="nil"/>
              <w:left w:val="single" w:sz="4" w:space="0" w:color="auto"/>
              <w:bottom w:val="single" w:sz="4" w:space="0" w:color="auto"/>
              <w:right w:val="single" w:sz="4" w:space="0" w:color="auto"/>
            </w:tcBorders>
            <w:vAlign w:val="center"/>
            <w:hideMark/>
          </w:tcPr>
          <w:p w:rsidR="00837FA7" w:rsidRDefault="00837FA7">
            <w:pPr>
              <w:pStyle w:val="TableBody"/>
              <w:rPr>
                <w:lang w:val="en-US"/>
              </w:rPr>
            </w:pPr>
            <w:r>
              <w:t>PDR</w:t>
            </w:r>
            <w:r>
              <w:rPr>
                <w:lang w:val="en-US"/>
              </w:rPr>
              <w:t>, FDR</w:t>
            </w:r>
          </w:p>
        </w:tc>
        <w:tc>
          <w:tcPr>
            <w:tcW w:w="1092" w:type="dxa"/>
            <w:tcBorders>
              <w:top w:val="nil"/>
              <w:left w:val="nil"/>
              <w:bottom w:val="single" w:sz="4" w:space="0" w:color="auto"/>
              <w:right w:val="single" w:sz="4" w:space="0" w:color="auto"/>
            </w:tcBorders>
            <w:vAlign w:val="center"/>
            <w:hideMark/>
          </w:tcPr>
          <w:p w:rsidR="00837FA7" w:rsidRDefault="00837FA7">
            <w:pPr>
              <w:pStyle w:val="TableBody"/>
            </w:pPr>
            <w:r>
              <w:t>Yes</w:t>
            </w:r>
          </w:p>
        </w:tc>
      </w:tr>
    </w:tbl>
    <w:p w:rsidR="00D8603F" w:rsidRPr="000879C5" w:rsidRDefault="00D8603F" w:rsidP="00D56A72">
      <w:pPr>
        <w:pStyle w:val="BodyText"/>
        <w:suppressLineNumbers/>
        <w:suppressAutoHyphens/>
        <w:rPr>
          <w:rFonts w:asciiTheme="minorHAnsi" w:hAnsiTheme="minorHAnsi"/>
          <w:szCs w:val="24"/>
        </w:rPr>
      </w:pPr>
    </w:p>
    <w:sectPr w:rsidR="00D8603F" w:rsidRPr="0008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277A"/>
    <w:multiLevelType w:val="multilevel"/>
    <w:tmpl w:val="8D2A27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26"/>
        </w:tabs>
        <w:ind w:left="1026" w:hanging="576"/>
      </w:pPr>
      <w:rPr>
        <w:rFonts w:hint="default"/>
      </w:rPr>
    </w:lvl>
    <w:lvl w:ilvl="2">
      <w:start w:val="1"/>
      <w:numFmt w:val="decimal"/>
      <w:pStyle w:val="Heading3"/>
      <w:lvlText w:val="%1.%2.%3"/>
      <w:lvlJc w:val="left"/>
      <w:pPr>
        <w:tabs>
          <w:tab w:val="num" w:pos="2340"/>
        </w:tabs>
        <w:ind w:left="2340" w:hanging="720"/>
      </w:pPr>
      <w:rPr>
        <w:rFonts w:hint="default"/>
      </w:rPr>
    </w:lvl>
    <w:lvl w:ilvl="3">
      <w:start w:val="1"/>
      <w:numFmt w:val="decimal"/>
      <w:pStyle w:val="Heading4"/>
      <w:lvlText w:val="%1.%2.%3.%4"/>
      <w:lvlJc w:val="left"/>
      <w:pPr>
        <w:tabs>
          <w:tab w:val="num" w:pos="2934"/>
        </w:tabs>
        <w:ind w:left="2934" w:hanging="864"/>
      </w:pPr>
      <w:rPr>
        <w:rFonts w:hint="default"/>
      </w:rPr>
    </w:lvl>
    <w:lvl w:ilvl="4">
      <w:start w:val="1"/>
      <w:numFmt w:val="decimal"/>
      <w:lvlText w:val="%1.%2.%3.%4.%5"/>
      <w:lvlJc w:val="left"/>
      <w:pPr>
        <w:tabs>
          <w:tab w:val="num" w:pos="1008"/>
        </w:tabs>
        <w:ind w:left="1008" w:hanging="1008"/>
      </w:pPr>
      <w:rPr>
        <w:rFonts w:hint="default"/>
        <w:color w:val="auto"/>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9167D12"/>
    <w:multiLevelType w:val="multilevel"/>
    <w:tmpl w:val="12D82F84"/>
    <w:numStyleLink w:val="StandardNumbering"/>
  </w:abstractNum>
  <w:abstractNum w:abstractNumId="2" w15:restartNumberingAfterBreak="0">
    <w:nsid w:val="55AF5EBC"/>
    <w:multiLevelType w:val="hybridMultilevel"/>
    <w:tmpl w:val="2C90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F40E6"/>
    <w:multiLevelType w:val="multilevel"/>
    <w:tmpl w:val="12D82F84"/>
    <w:styleLink w:val="StandardNumbering"/>
    <w:lvl w:ilvl="0">
      <w:start w:val="1"/>
      <w:numFmt w:val="upperLetter"/>
      <w:lvlText w:val="%1."/>
      <w:lvlJc w:val="left"/>
      <w:pPr>
        <w:tabs>
          <w:tab w:val="num" w:pos="2160"/>
        </w:tabs>
        <w:ind w:left="2160" w:hanging="720"/>
      </w:pPr>
      <w:rPr>
        <w:rFonts w:ascii="Arial" w:hAnsi="Arial"/>
        <w:sz w:val="24"/>
      </w:rPr>
    </w:lvl>
    <w:lvl w:ilvl="1">
      <w:start w:val="1"/>
      <w:numFmt w:val="decimal"/>
      <w:lvlText w:val="%2."/>
      <w:lvlJc w:val="left"/>
      <w:pPr>
        <w:tabs>
          <w:tab w:val="num" w:pos="2520"/>
        </w:tabs>
        <w:ind w:left="2520" w:hanging="360"/>
      </w:pPr>
      <w:rPr>
        <w:rFonts w:hint="default"/>
      </w:rPr>
    </w:lvl>
    <w:lvl w:ilvl="2">
      <w:start w:val="1"/>
      <w:numFmt w:val="lowerLetter"/>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 w15:restartNumberingAfterBreak="0">
    <w:nsid w:val="6E9B717A"/>
    <w:multiLevelType w:val="hybridMultilevel"/>
    <w:tmpl w:val="37D6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3723DE0"/>
    <w:multiLevelType w:val="multilevel"/>
    <w:tmpl w:val="12D82F84"/>
    <w:lvl w:ilvl="0">
      <w:start w:val="1"/>
      <w:numFmt w:val="upperLetter"/>
      <w:lvlText w:val="%1."/>
      <w:lvlJc w:val="left"/>
      <w:pPr>
        <w:tabs>
          <w:tab w:val="num" w:pos="2160"/>
        </w:tabs>
        <w:ind w:left="2160" w:hanging="720"/>
      </w:pPr>
      <w:rPr>
        <w:rFonts w:ascii="Arial" w:hAnsi="Arial"/>
        <w:sz w:val="24"/>
      </w:rPr>
    </w:lvl>
    <w:lvl w:ilvl="1">
      <w:start w:val="1"/>
      <w:numFmt w:val="decimal"/>
      <w:lvlText w:val="%2."/>
      <w:lvlJc w:val="left"/>
      <w:pPr>
        <w:tabs>
          <w:tab w:val="num" w:pos="2520"/>
        </w:tabs>
        <w:ind w:left="2520" w:hanging="360"/>
      </w:pPr>
      <w:rPr>
        <w:rFonts w:hint="default"/>
      </w:rPr>
    </w:lvl>
    <w:lvl w:ilvl="2">
      <w:start w:val="1"/>
      <w:numFmt w:val="lowerLetter"/>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6" w15:restartNumberingAfterBreak="0">
    <w:nsid w:val="7E8A51C9"/>
    <w:multiLevelType w:val="hybridMultilevel"/>
    <w:tmpl w:val="8E50F5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6D"/>
    <w:rsid w:val="00074572"/>
    <w:rsid w:val="00075A8B"/>
    <w:rsid w:val="000879C5"/>
    <w:rsid w:val="001853D3"/>
    <w:rsid w:val="00230DBF"/>
    <w:rsid w:val="00327199"/>
    <w:rsid w:val="003C5A1D"/>
    <w:rsid w:val="003E5780"/>
    <w:rsid w:val="00407D2D"/>
    <w:rsid w:val="0042658C"/>
    <w:rsid w:val="004D4CC0"/>
    <w:rsid w:val="0058257F"/>
    <w:rsid w:val="005C4C32"/>
    <w:rsid w:val="005F7F67"/>
    <w:rsid w:val="00693469"/>
    <w:rsid w:val="006B3F6D"/>
    <w:rsid w:val="006D0FB2"/>
    <w:rsid w:val="006E356D"/>
    <w:rsid w:val="00745427"/>
    <w:rsid w:val="007A507B"/>
    <w:rsid w:val="00837FA7"/>
    <w:rsid w:val="008F1CA2"/>
    <w:rsid w:val="009E2093"/>
    <w:rsid w:val="00A36DDD"/>
    <w:rsid w:val="00AE277E"/>
    <w:rsid w:val="00C40E40"/>
    <w:rsid w:val="00C84542"/>
    <w:rsid w:val="00CD124A"/>
    <w:rsid w:val="00CE6D0C"/>
    <w:rsid w:val="00CF4B3F"/>
    <w:rsid w:val="00D56A72"/>
    <w:rsid w:val="00D8603F"/>
    <w:rsid w:val="00E710F7"/>
    <w:rsid w:val="00ED23EB"/>
    <w:rsid w:val="00F612DF"/>
    <w:rsid w:val="00FF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0FF36-C5C7-4595-9FE0-C534EAC5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10F7"/>
    <w:pPr>
      <w:widowControl w:val="0"/>
      <w:numPr>
        <w:numId w:val="5"/>
      </w:numPr>
      <w:tabs>
        <w:tab w:val="clear" w:pos="432"/>
      </w:tabs>
      <w:autoSpaceDE w:val="0"/>
      <w:autoSpaceDN w:val="0"/>
      <w:adjustRightInd w:val="0"/>
      <w:spacing w:after="0" w:line="240" w:lineRule="auto"/>
      <w:ind w:left="0" w:firstLine="0"/>
      <w:jc w:val="center"/>
      <w:outlineLvl w:val="0"/>
    </w:pPr>
    <w:rPr>
      <w:rFonts w:ascii="Arial" w:eastAsia="Times New Roman" w:hAnsi="Arial" w:cs="Times New Roman"/>
      <w:b/>
      <w:sz w:val="28"/>
      <w:szCs w:val="32"/>
    </w:rPr>
  </w:style>
  <w:style w:type="paragraph" w:styleId="Heading2">
    <w:name w:val="heading 2"/>
    <w:basedOn w:val="Normal"/>
    <w:link w:val="Heading2Char"/>
    <w:qFormat/>
    <w:rsid w:val="00E710F7"/>
    <w:pPr>
      <w:numPr>
        <w:ilvl w:val="1"/>
        <w:numId w:val="5"/>
      </w:numPr>
      <w:tabs>
        <w:tab w:val="clear" w:pos="1026"/>
      </w:tabs>
      <w:spacing w:before="75" w:after="0" w:line="240" w:lineRule="auto"/>
      <w:ind w:left="-75" w:right="-225" w:firstLine="0"/>
      <w:outlineLvl w:val="1"/>
    </w:pPr>
    <w:rPr>
      <w:rFonts w:ascii="Arial" w:eastAsia="Times New Roman" w:hAnsi="Arial" w:cs="Arial"/>
      <w:b/>
      <w:bCs/>
      <w:color w:val="666666"/>
      <w:sz w:val="19"/>
      <w:szCs w:val="19"/>
    </w:rPr>
  </w:style>
  <w:style w:type="paragraph" w:styleId="Heading3">
    <w:name w:val="heading 3"/>
    <w:basedOn w:val="Normal"/>
    <w:next w:val="Normal"/>
    <w:link w:val="Heading3Char"/>
    <w:unhideWhenUsed/>
    <w:qFormat/>
    <w:rsid w:val="00E710F7"/>
    <w:pPr>
      <w:keepNext/>
      <w:keepLines/>
      <w:numPr>
        <w:ilvl w:val="2"/>
        <w:numId w:val="5"/>
      </w:numPr>
      <w:tabs>
        <w:tab w:val="clear" w:pos="2340"/>
      </w:tabs>
      <w:spacing w:before="200" w:after="0" w:line="240" w:lineRule="auto"/>
      <w:ind w:left="0" w:firstLine="0"/>
      <w:jc w:val="both"/>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E710F7"/>
    <w:pPr>
      <w:keepNext/>
      <w:numPr>
        <w:ilvl w:val="3"/>
        <w:numId w:val="5"/>
      </w:numPr>
      <w:tabs>
        <w:tab w:val="num" w:pos="2844"/>
      </w:tabs>
      <w:spacing w:before="240" w:after="60" w:line="240" w:lineRule="auto"/>
      <w:jc w:val="both"/>
      <w:outlineLvl w:val="3"/>
    </w:pPr>
    <w:rPr>
      <w:rFonts w:ascii="Arial" w:eastAsia="Times New Roman" w:hAnsi="Arial" w:cs="Times New Roman"/>
      <w:b/>
      <w:i/>
      <w:snapToGrid w:val="0"/>
      <w:sz w:val="24"/>
      <w:szCs w:val="20"/>
    </w:rPr>
  </w:style>
  <w:style w:type="paragraph" w:styleId="Heading6">
    <w:name w:val="heading 6"/>
    <w:basedOn w:val="Normal"/>
    <w:next w:val="Normal"/>
    <w:link w:val="Heading6Char"/>
    <w:qFormat/>
    <w:rsid w:val="00E710F7"/>
    <w:pPr>
      <w:numPr>
        <w:ilvl w:val="5"/>
        <w:numId w:val="5"/>
      </w:numPr>
      <w:spacing w:before="240" w:after="60" w:line="240" w:lineRule="auto"/>
      <w:jc w:val="both"/>
      <w:outlineLvl w:val="5"/>
    </w:pPr>
    <w:rPr>
      <w:rFonts w:ascii="Times New Roman" w:eastAsia="Times New Roman" w:hAnsi="Times New Roman" w:cs="Times New Roman"/>
      <w:i/>
      <w:snapToGrid w:val="0"/>
      <w:szCs w:val="20"/>
    </w:rPr>
  </w:style>
  <w:style w:type="paragraph" w:styleId="Heading7">
    <w:name w:val="heading 7"/>
    <w:basedOn w:val="Normal"/>
    <w:next w:val="Normal"/>
    <w:link w:val="Heading7Char"/>
    <w:qFormat/>
    <w:rsid w:val="00E710F7"/>
    <w:pPr>
      <w:numPr>
        <w:ilvl w:val="6"/>
        <w:numId w:val="5"/>
      </w:numPr>
      <w:spacing w:before="240" w:after="60" w:line="240" w:lineRule="auto"/>
      <w:jc w:val="both"/>
      <w:outlineLvl w:val="6"/>
    </w:pPr>
    <w:rPr>
      <w:rFonts w:ascii="Arial" w:eastAsia="Times New Roman" w:hAnsi="Arial" w:cs="Times New Roman"/>
      <w:snapToGrid w:val="0"/>
      <w:sz w:val="20"/>
      <w:szCs w:val="20"/>
    </w:rPr>
  </w:style>
  <w:style w:type="paragraph" w:styleId="Heading8">
    <w:name w:val="heading 8"/>
    <w:basedOn w:val="Normal"/>
    <w:next w:val="Normal"/>
    <w:link w:val="Heading8Char"/>
    <w:qFormat/>
    <w:rsid w:val="00E710F7"/>
    <w:pPr>
      <w:numPr>
        <w:ilvl w:val="7"/>
        <w:numId w:val="5"/>
      </w:numPr>
      <w:spacing w:before="240" w:after="60" w:line="240" w:lineRule="auto"/>
      <w:jc w:val="both"/>
      <w:outlineLvl w:val="7"/>
    </w:pPr>
    <w:rPr>
      <w:rFonts w:ascii="Arial" w:eastAsia="Times New Roman" w:hAnsi="Arial" w:cs="Times New Roman"/>
      <w:i/>
      <w:snapToGrid w:val="0"/>
      <w:sz w:val="20"/>
      <w:szCs w:val="20"/>
    </w:rPr>
  </w:style>
  <w:style w:type="paragraph" w:styleId="Heading9">
    <w:name w:val="heading 9"/>
    <w:basedOn w:val="Normal"/>
    <w:next w:val="Normal"/>
    <w:link w:val="Heading9Char"/>
    <w:qFormat/>
    <w:rsid w:val="00E710F7"/>
    <w:pPr>
      <w:numPr>
        <w:ilvl w:val="8"/>
        <w:numId w:val="5"/>
      </w:numPr>
      <w:spacing w:before="240" w:after="60" w:line="240" w:lineRule="auto"/>
      <w:jc w:val="both"/>
      <w:outlineLvl w:val="8"/>
    </w:pPr>
    <w:rPr>
      <w:rFonts w:ascii="Arial" w:eastAsia="Times New Roman" w:hAnsi="Arial" w:cs="Times New Roman"/>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F6D"/>
    <w:p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after="0" w:line="240" w:lineRule="atLeast"/>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B3F6D"/>
    <w:rPr>
      <w:rFonts w:ascii="Times New Roman" w:eastAsia="Times New Roman" w:hAnsi="Times New Roman" w:cs="Times New Roman"/>
      <w:snapToGrid w:val="0"/>
      <w:sz w:val="24"/>
      <w:szCs w:val="20"/>
    </w:rPr>
  </w:style>
  <w:style w:type="numbering" w:customStyle="1" w:styleId="StandardNumbering">
    <w:name w:val="Standard Numbering"/>
    <w:basedOn w:val="NoList"/>
    <w:rsid w:val="004D4CC0"/>
    <w:pPr>
      <w:numPr>
        <w:numId w:val="2"/>
      </w:numPr>
    </w:pPr>
  </w:style>
  <w:style w:type="paragraph" w:styleId="ListParagraph">
    <w:name w:val="List Paragraph"/>
    <w:basedOn w:val="Normal"/>
    <w:uiPriority w:val="34"/>
    <w:qFormat/>
    <w:rsid w:val="000879C5"/>
    <w:pPr>
      <w:ind w:left="720"/>
      <w:contextualSpacing/>
    </w:pPr>
  </w:style>
  <w:style w:type="character" w:customStyle="1" w:styleId="Heading1Char">
    <w:name w:val="Heading 1 Char"/>
    <w:basedOn w:val="DefaultParagraphFont"/>
    <w:link w:val="Heading1"/>
    <w:rsid w:val="00E710F7"/>
    <w:rPr>
      <w:rFonts w:ascii="Arial" w:eastAsia="Times New Roman" w:hAnsi="Arial" w:cs="Times New Roman"/>
      <w:b/>
      <w:sz w:val="28"/>
      <w:szCs w:val="32"/>
    </w:rPr>
  </w:style>
  <w:style w:type="character" w:customStyle="1" w:styleId="Heading2Char">
    <w:name w:val="Heading 2 Char"/>
    <w:basedOn w:val="DefaultParagraphFont"/>
    <w:link w:val="Heading2"/>
    <w:rsid w:val="00E710F7"/>
    <w:rPr>
      <w:rFonts w:ascii="Arial" w:eastAsia="Times New Roman" w:hAnsi="Arial" w:cs="Arial"/>
      <w:b/>
      <w:bCs/>
      <w:color w:val="666666"/>
      <w:sz w:val="19"/>
      <w:szCs w:val="19"/>
    </w:rPr>
  </w:style>
  <w:style w:type="character" w:customStyle="1" w:styleId="Heading3Char">
    <w:name w:val="Heading 3 Char"/>
    <w:basedOn w:val="DefaultParagraphFont"/>
    <w:link w:val="Heading3"/>
    <w:rsid w:val="00E710F7"/>
    <w:rPr>
      <w:rFonts w:ascii="Cambria" w:eastAsia="Times New Roman" w:hAnsi="Cambria" w:cs="Times New Roman"/>
      <w:b/>
      <w:bCs/>
      <w:color w:val="4F81BD"/>
    </w:rPr>
  </w:style>
  <w:style w:type="character" w:customStyle="1" w:styleId="Heading4Char">
    <w:name w:val="Heading 4 Char"/>
    <w:basedOn w:val="DefaultParagraphFont"/>
    <w:link w:val="Heading4"/>
    <w:rsid w:val="00E710F7"/>
    <w:rPr>
      <w:rFonts w:ascii="Arial" w:eastAsia="Times New Roman" w:hAnsi="Arial" w:cs="Times New Roman"/>
      <w:b/>
      <w:i/>
      <w:snapToGrid w:val="0"/>
      <w:sz w:val="24"/>
      <w:szCs w:val="20"/>
    </w:rPr>
  </w:style>
  <w:style w:type="character" w:customStyle="1" w:styleId="Heading6Char">
    <w:name w:val="Heading 6 Char"/>
    <w:basedOn w:val="DefaultParagraphFont"/>
    <w:link w:val="Heading6"/>
    <w:rsid w:val="00E710F7"/>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E710F7"/>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E710F7"/>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E710F7"/>
    <w:rPr>
      <w:rFonts w:ascii="Arial" w:eastAsia="Times New Roman" w:hAnsi="Arial" w:cs="Times New Roman"/>
      <w:b/>
      <w:i/>
      <w:snapToGrid w:val="0"/>
      <w:sz w:val="18"/>
      <w:szCs w:val="20"/>
    </w:rPr>
  </w:style>
  <w:style w:type="paragraph" w:customStyle="1" w:styleId="TableHeader">
    <w:name w:val="Table Header"/>
    <w:basedOn w:val="Normal"/>
    <w:rsid w:val="00837FA7"/>
    <w:pPr>
      <w:keepNext/>
      <w:keepLines/>
      <w:snapToGrid w:val="0"/>
      <w:spacing w:before="60" w:after="60" w:line="240" w:lineRule="auto"/>
      <w:jc w:val="center"/>
    </w:pPr>
    <w:rPr>
      <w:rFonts w:ascii="Arial" w:eastAsia="Times New Roman" w:hAnsi="Arial" w:cs="Times New Roman"/>
      <w:b/>
      <w:bCs/>
      <w:sz w:val="20"/>
      <w:szCs w:val="20"/>
    </w:rPr>
  </w:style>
  <w:style w:type="paragraph" w:customStyle="1" w:styleId="TableLeft">
    <w:name w:val="Table Left"/>
    <w:basedOn w:val="Normal"/>
    <w:rsid w:val="00837FA7"/>
    <w:pPr>
      <w:keepLines/>
      <w:snapToGrid w:val="0"/>
      <w:spacing w:before="20" w:after="20" w:line="240" w:lineRule="auto"/>
    </w:pPr>
    <w:rPr>
      <w:rFonts w:ascii="Arial" w:eastAsia="Times New Roman" w:hAnsi="Arial" w:cs="Times New Roman"/>
      <w:sz w:val="18"/>
      <w:szCs w:val="20"/>
    </w:rPr>
  </w:style>
  <w:style w:type="paragraph" w:customStyle="1" w:styleId="TableBody">
    <w:name w:val="Table Body"/>
    <w:basedOn w:val="BodyText"/>
    <w:rsid w:val="00837FA7"/>
    <w:p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napToGrid w:val="0"/>
      <w:spacing w:before="100" w:beforeAutospacing="1" w:after="100" w:afterAutospacing="1" w:line="240" w:lineRule="auto"/>
      <w:jc w:val="center"/>
    </w:pPr>
    <w:rPr>
      <w:rFonts w:ascii="Arial" w:hAnsi="Arial"/>
      <w:snapToGrid/>
      <w:sz w:val="20"/>
      <w:lang w:val="x-none" w:eastAsia="x-none"/>
    </w:rPr>
  </w:style>
  <w:style w:type="paragraph" w:styleId="BalloonText">
    <w:name w:val="Balloon Text"/>
    <w:basedOn w:val="Normal"/>
    <w:link w:val="BalloonTextChar"/>
    <w:uiPriority w:val="99"/>
    <w:semiHidden/>
    <w:unhideWhenUsed/>
    <w:rsid w:val="00327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35695">
      <w:bodyDiv w:val="1"/>
      <w:marLeft w:val="0"/>
      <w:marRight w:val="0"/>
      <w:marTop w:val="0"/>
      <w:marBottom w:val="0"/>
      <w:divBdr>
        <w:top w:val="none" w:sz="0" w:space="0" w:color="auto"/>
        <w:left w:val="none" w:sz="0" w:space="0" w:color="auto"/>
        <w:bottom w:val="none" w:sz="0" w:space="0" w:color="auto"/>
        <w:right w:val="none" w:sz="0" w:space="0" w:color="auto"/>
      </w:divBdr>
    </w:div>
    <w:div w:id="1739666028">
      <w:bodyDiv w:val="1"/>
      <w:marLeft w:val="0"/>
      <w:marRight w:val="0"/>
      <w:marTop w:val="0"/>
      <w:marBottom w:val="0"/>
      <w:divBdr>
        <w:top w:val="none" w:sz="0" w:space="0" w:color="auto"/>
        <w:left w:val="none" w:sz="0" w:space="0" w:color="auto"/>
        <w:bottom w:val="none" w:sz="0" w:space="0" w:color="auto"/>
        <w:right w:val="none" w:sz="0" w:space="0" w:color="auto"/>
      </w:divBdr>
    </w:div>
    <w:div w:id="17631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Anomnachi, Terri</dc:creator>
  <cp:keywords/>
  <dc:description/>
  <cp:lastModifiedBy>Asres, Wondem</cp:lastModifiedBy>
  <cp:revision>8</cp:revision>
  <cp:lastPrinted>2018-04-18T17:46:00Z</cp:lastPrinted>
  <dcterms:created xsi:type="dcterms:W3CDTF">2018-04-19T13:49:00Z</dcterms:created>
  <dcterms:modified xsi:type="dcterms:W3CDTF">2018-04-20T13:36:00Z</dcterms:modified>
</cp:coreProperties>
</file>